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483" w:tblpY="1974"/>
        <w:tblOverlap w:val="never"/>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80"/>
      </w:tblGrid>
      <w:tr>
        <w:trPr>
          <w:trHeight w:val="2492" w:hRule="atLeast"/>
        </w:trPr>
        <w:tc>
          <w:tcPr>
            <w:tcW w:w="9180" w:type="dxa"/>
            <w:vAlign w:val="center"/>
          </w:tcPr>
          <w:p>
            <w:pPr>
              <w:ind w:left="-10" w:leftChars="-5"/>
              <w:jc w:val="center"/>
              <w:rPr>
                <w:rFonts w:hint="default" w:eastAsia="仿宋_GB2312"/>
              </w:rPr>
            </w:pPr>
            <w:r>
              <w:rPr>
                <w:rFonts w:hint="default" w:ascii="Times New Roman" w:hAnsi="Times New Roman" w:eastAsia="Times New Roman" w:cs="Times New Roman"/>
                <w:kern w:val="2"/>
                <w:sz w:val="21"/>
                <w:szCs w:val="22"/>
                <w:lang w:val="en-US" w:eastAsia="zh-CN" w:bidi="ar-SA"/>
              </w:rPr>
              <w:pict>
                <v:shape id="_x0000_i1025" o:spid="_x0000_s1027" type="#_x0000_t75" style="height:81.65pt;width:442.8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rPr>
                <w:rFonts w:hint="default"/>
              </w:rPr>
              <w:t xml:space="preserve"> </w:t>
            </w:r>
          </w:p>
        </w:tc>
      </w:tr>
      <w:tr>
        <w:trPr>
          <w:trHeight w:val="1150" w:hRule="atLeast"/>
        </w:trPr>
        <w:tc>
          <w:tcPr>
            <w:tcW w:w="9180" w:type="dxa"/>
            <w:vAlign w:val="bottom"/>
          </w:tcPr>
          <w:p>
            <w:pPr>
              <w:ind w:left="-10" w:leftChars="-5"/>
              <w:jc w:val="center"/>
              <w:rPr>
                <w:rFonts w:hint="default" w:eastAsia="Times New Roman"/>
              </w:rPr>
            </w:pPr>
          </w:p>
          <w:p>
            <w:pPr>
              <w:spacing w:line="600" w:lineRule="exact"/>
              <w:jc w:val="center"/>
              <w:rPr>
                <w:rFonts w:hint="default" w:eastAsia="Times New Roman"/>
              </w:rPr>
            </w:pPr>
            <w:r>
              <w:rPr>
                <w:rFonts w:hint="eastAsia" w:ascii="仿宋_GB2312" w:eastAsia="仿宋_GB2312"/>
                <w:color w:val="000000"/>
                <w:sz w:val="32"/>
                <w:szCs w:val="32"/>
                <w:lang w:val="en-US" w:eastAsia="zh-CN"/>
              </w:rPr>
              <w:t>龙律</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hAnsi="宋体" w:eastAsia="仿宋_GB2312"/>
                <w:sz w:val="32"/>
                <w:szCs w:val="32"/>
                <w:lang w:val="en-US" w:eastAsia="zh-CN"/>
              </w:rPr>
              <w:t>31</w:t>
            </w:r>
            <w:r>
              <w:rPr>
                <w:rFonts w:hint="eastAsia" w:ascii="仿宋_GB2312" w:eastAsia="仿宋_GB2312"/>
                <w:color w:val="000000"/>
                <w:sz w:val="32"/>
                <w:szCs w:val="32"/>
              </w:rPr>
              <w:t>号</w:t>
            </w:r>
          </w:p>
        </w:tc>
      </w:tr>
      <w:tr>
        <w:trPr>
          <w:trHeight w:val="446" w:hRule="atLeast"/>
        </w:trPr>
        <w:tc>
          <w:tcPr>
            <w:tcW w:w="9180" w:type="dxa"/>
            <w:vAlign w:val="center"/>
          </w:tcPr>
          <w:p>
            <w:pPr>
              <w:spacing w:line="200" w:lineRule="exact"/>
              <w:rPr>
                <w:rFonts w:hint="default" w:eastAsia="Times New Roman"/>
              </w:rPr>
            </w:pPr>
            <w:r>
              <w:rPr>
                <w:rFonts w:hint="default" w:ascii="Times New Roman" w:hAnsi="Times New Roman" w:eastAsia="Times New Roman" w:cs="Times New Roman"/>
                <w:kern w:val="2"/>
                <w:sz w:val="21"/>
                <w:szCs w:val="22"/>
                <w:lang w:val="en-US" w:eastAsia="zh-CN" w:bidi="ar-SA"/>
              </w:rPr>
              <w:pict>
                <v:shape id="图片 2" o:spid="_x0000_s1028" type="#_x0000_t75" style="position:absolute;left:0;margin-left:-0.75pt;margin-top:2.5pt;height:12pt;width:471.35pt;mso-position-horizontal-relative:page;mso-position-vertical-relative:page;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p>
        </w:tc>
      </w:tr>
    </w:tbl>
    <w:p/>
    <w:p>
      <w:pPr>
        <w:widowControl w:val="0"/>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龙岩市律师协会关于</w:t>
      </w:r>
      <w:r>
        <w:rPr>
          <w:rFonts w:hint="eastAsia" w:ascii="方正小标宋简体" w:hAnsi="方正小标宋简体" w:eastAsia="方正小标宋简体" w:cs="方正小标宋简体"/>
          <w:color w:val="auto"/>
          <w:sz w:val="44"/>
          <w:szCs w:val="44"/>
          <w:lang w:val="en-US" w:eastAsia="zh-CN"/>
        </w:rPr>
        <w:t>修改</w:t>
      </w:r>
      <w:r>
        <w:rPr>
          <w:rFonts w:hint="eastAsia" w:ascii="方正小标宋简体" w:hAnsi="方正小标宋简体" w:eastAsia="方正小标宋简体" w:cs="方正小标宋简体"/>
          <w:sz w:val="44"/>
          <w:szCs w:val="44"/>
          <w:lang w:val="en-US" w:eastAsia="zh-CN"/>
        </w:rPr>
        <w:t>《龙岩</w:t>
      </w:r>
    </w:p>
    <w:p>
      <w:pPr>
        <w:widowControl w:val="0"/>
        <w:wordWrap/>
        <w:adjustRightInd/>
        <w:snapToGrid/>
        <w:spacing w:before="0" w:after="0" w:line="54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市律师协会会费收取标准（试行）》的决定</w:t>
      </w:r>
    </w:p>
    <w:p>
      <w:pPr>
        <w:widowControl w:val="0"/>
        <w:wordWrap/>
        <w:adjustRightInd/>
        <w:snapToGrid/>
        <w:spacing w:before="0" w:after="0" w:line="540" w:lineRule="exact"/>
        <w:ind w:left="0" w:leftChars="0" w:right="0"/>
        <w:jc w:val="center"/>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40"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各律师事务所、全体律师：</w:t>
      </w:r>
    </w:p>
    <w:p>
      <w:pPr>
        <w:widowControl w:val="0"/>
        <w:wordWrap/>
        <w:adjustRightInd/>
        <w:snapToGrid/>
        <w:spacing w:before="0" w:after="0"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《龙岩市律师协会关于修改&lt;龙岩市律师协会会费收取标准（试行）&gt;的决定》已于2021年12月11日由</w:t>
      </w:r>
      <w:r>
        <w:rPr>
          <w:rFonts w:hint="eastAsia" w:ascii="仿宋_GB2312" w:hAnsi="仿宋_GB2312" w:eastAsia="仿宋_GB2312" w:cs="仿宋_GB2312"/>
          <w:sz w:val="32"/>
          <w:szCs w:val="32"/>
          <w:lang w:val="en-US" w:eastAsia="zh-CN"/>
        </w:rPr>
        <w:t>龙岩市第六次律师代表大会表决通过，现</w:t>
      </w:r>
      <w:r>
        <w:rPr>
          <w:rFonts w:hint="eastAsia" w:ascii="仿宋_GB2312" w:hAnsi="仿宋_GB2312" w:eastAsia="仿宋_GB2312" w:cs="仿宋_GB2312"/>
          <w:color w:val="auto"/>
          <w:sz w:val="32"/>
          <w:szCs w:val="32"/>
          <w:lang w:val="en-US" w:eastAsia="zh-CN"/>
        </w:rPr>
        <w:t>将修改后的全文</w:t>
      </w:r>
      <w:r>
        <w:rPr>
          <w:rFonts w:hint="eastAsia" w:ascii="仿宋_GB2312" w:hAnsi="仿宋_GB2312" w:eastAsia="仿宋_GB2312" w:cs="仿宋_GB2312"/>
          <w:sz w:val="32"/>
          <w:szCs w:val="32"/>
          <w:lang w:val="en-US" w:eastAsia="zh-CN"/>
        </w:rPr>
        <w:t>予以公布。　　　　</w:t>
      </w:r>
    </w:p>
    <w:p>
      <w:pPr>
        <w:widowControl w:val="0"/>
        <w:wordWrap/>
        <w:adjustRightInd/>
        <w:snapToGrid/>
        <w:spacing w:before="0" w:after="0"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附件：《龙岩市律师协会会费收取标准（试行）》</w:t>
      </w:r>
    </w:p>
    <w:p>
      <w:pPr>
        <w:widowControl w:val="0"/>
        <w:wordWrap/>
        <w:adjustRightInd/>
        <w:snapToGrid/>
        <w:spacing w:before="0" w:after="0" w:line="54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40"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龙岩市律师协会</w:t>
      </w:r>
    </w:p>
    <w:p>
      <w:pPr>
        <w:widowControl w:val="0"/>
        <w:wordWrap/>
        <w:adjustRightInd/>
        <w:snapToGrid/>
        <w:spacing w:before="0" w:after="0" w:line="540"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2021年12月24日</w:t>
      </w:r>
    </w:p>
    <w:p>
      <w:pPr>
        <w:widowControl w:val="0"/>
        <w:wordWrap/>
        <w:adjustRightInd/>
        <w:snapToGrid/>
        <w:spacing w:before="0" w:after="0" w:line="540" w:lineRule="exact"/>
        <w:ind w:left="0" w:leftChars="0" w:right="0" w:firstLine="640" w:firstLineChars="200"/>
        <w:jc w:val="center"/>
        <w:textAlignment w:val="auto"/>
        <w:outlineLvl w:val="9"/>
        <w:rPr>
          <w:rFonts w:hint="eastAsia" w:ascii="仿宋_GB2312" w:hAnsi="仿宋_GB2312" w:eastAsia="仿宋_GB2312" w:cs="仿宋_GB2312"/>
          <w:sz w:val="32"/>
          <w:szCs w:val="32"/>
          <w:lang w:val="en-US" w:eastAsia="zh-CN"/>
        </w:rPr>
      </w:pPr>
    </w:p>
    <w:p>
      <w:pPr>
        <w:adjustRightInd w:val="0"/>
        <w:spacing w:line="590" w:lineRule="exact"/>
        <w:ind w:right="210" w:rightChars="10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pict>
          <v:line id="Line 3" o:spid="_x0000_s1029" style="position:absolute;left:0;margin-left:1.4pt;margin-top:32.6pt;height:0.05pt;width:441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kern w:val="2"/>
          <w:sz w:val="28"/>
          <w:szCs w:val="28"/>
          <w:lang w:val="en-US" w:eastAsia="zh-CN" w:bidi="ar-SA"/>
        </w:rPr>
        <w:pict>
          <v:line id="Line 2" o:spid="_x0000_s1030" style="position:absolute;left:0;margin-left:1.45pt;margin-top:3.2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28"/>
          <w:szCs w:val="28"/>
        </w:rPr>
        <w:t>龙岩市律师协会                         2021年12月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日印发</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val="0"/>
          <w:color w:val="333333"/>
          <w:sz w:val="32"/>
          <w:szCs w:val="32"/>
          <w:lang w:val="en-US" w:eastAsia="zh-CN"/>
        </w:rPr>
      </w:pPr>
      <w:r>
        <w:rPr>
          <w:rFonts w:hint="eastAsia" w:ascii="仿宋_GB2312" w:hAnsi="仿宋_GB2312" w:eastAsia="仿宋_GB2312" w:cs="仿宋_GB2312"/>
          <w:b w:val="0"/>
          <w:bCs w:val="0"/>
          <w:color w:val="333333"/>
          <w:sz w:val="32"/>
          <w:szCs w:val="32"/>
          <w:lang w:val="en-US" w:eastAsia="zh-CN"/>
        </w:rPr>
        <w:t>附件</w:t>
      </w:r>
    </w:p>
    <w:p>
      <w:pPr>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b w:val="0"/>
          <w:bCs w:val="0"/>
          <w:color w:val="333333"/>
          <w:sz w:val="44"/>
          <w:szCs w:val="44"/>
        </w:rPr>
      </w:pPr>
    </w:p>
    <w:p>
      <w:pPr>
        <w:wordWrap/>
        <w:adjustRightInd/>
        <w:snapToGrid/>
        <w:spacing w:before="0" w:after="0" w:line="600" w:lineRule="exact"/>
        <w:ind w:left="0" w:leftChars="0" w:right="0"/>
        <w:jc w:val="center"/>
        <w:textAlignment w:val="auto"/>
        <w:outlineLvl w:val="9"/>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sz w:val="44"/>
          <w:szCs w:val="44"/>
        </w:rPr>
        <w:t>龙岩市律师协会会费收取标准</w:t>
      </w:r>
      <w:r>
        <w:rPr>
          <w:rFonts w:hint="eastAsia" w:ascii="方正小标宋简体" w:hAnsi="方正小标宋简体" w:eastAsia="方正小标宋简体" w:cs="方正小标宋简体"/>
          <w:b w:val="0"/>
          <w:bCs w:val="0"/>
          <w:color w:val="333333"/>
          <w:sz w:val="44"/>
          <w:szCs w:val="44"/>
          <w:lang w:eastAsia="zh-CN"/>
        </w:rPr>
        <w:t>（</w:t>
      </w:r>
      <w:r>
        <w:rPr>
          <w:rFonts w:hint="eastAsia" w:ascii="方正小标宋简体" w:hAnsi="方正小标宋简体" w:eastAsia="方正小标宋简体" w:cs="方正小标宋简体"/>
          <w:b w:val="0"/>
          <w:bCs w:val="0"/>
          <w:color w:val="333333"/>
          <w:sz w:val="44"/>
          <w:szCs w:val="44"/>
          <w:lang w:val="en-US" w:eastAsia="zh-CN"/>
        </w:rPr>
        <w:t>试行</w:t>
      </w:r>
      <w:r>
        <w:rPr>
          <w:rFonts w:hint="eastAsia" w:ascii="方正小标宋简体" w:hAnsi="方正小标宋简体" w:eastAsia="方正小标宋简体" w:cs="方正小标宋简体"/>
          <w:b w:val="0"/>
          <w:bCs w:val="0"/>
          <w:color w:val="333333"/>
          <w:sz w:val="44"/>
          <w:szCs w:val="44"/>
          <w:lang w:eastAsia="zh-CN"/>
        </w:rPr>
        <w:t>）</w:t>
      </w:r>
      <w:bookmarkStart w:id="0" w:name="_GoBack"/>
      <w:bookmarkEnd w:id="0"/>
    </w:p>
    <w:p>
      <w:pPr>
        <w:widowControl/>
        <w:jc w:val="left"/>
        <w:rPr>
          <w:rFonts w:hint="eastAsia" w:ascii="仿宋_GB2312" w:hAnsi="仿宋_GB2312" w:eastAsia="仿宋_GB2312" w:cs="仿宋_GB2312"/>
          <w:sz w:val="32"/>
          <w:szCs w:val="32"/>
          <w:lang w:val="en-US" w:eastAsia="zh-CN"/>
        </w:rPr>
      </w:pPr>
    </w:p>
    <w:p>
      <w:pPr>
        <w:widowControl/>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《龙岩市律师协会会费收取标准（试行）》已于 2018 年 12 月 29 日经第五届龙岩市律师代表大会第二次会议审议通过，根据2021年12月11日龙岩市第六次律师代表大会表决《龙岩市律师协会关于修改&lt;龙岩市律师协会会费收取标准（试行）&gt;的决定》修正，自 2019 年 1 月 14 日起试行。</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bCs/>
          <w:i w:val="0"/>
          <w:caps w:val="0"/>
          <w:color w:val="auto"/>
          <w:spacing w:val="0"/>
          <w:kern w:val="0"/>
          <w:sz w:val="32"/>
          <w:szCs w:val="32"/>
          <w:shd w:val="clear" w:color="090000" w:fill="FFFFFF"/>
          <w:lang w:val="en-US" w:eastAsia="zh-CN"/>
        </w:rPr>
      </w:pP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第一条</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为了规范龙岩市律师协会会费(以下简称“</w:t>
      </w: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会费</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”)收取，履行《中华人民共和国律师法》赋予律师协会的</w:t>
      </w:r>
      <w:r>
        <w:rPr>
          <w:rFonts w:hint="eastAsia" w:ascii="仿宋_GB2312" w:hAnsi="仿宋_GB2312" w:eastAsia="仿宋_GB2312" w:cs="仿宋_GB2312"/>
          <w:b w:val="0"/>
          <w:bCs w:val="0"/>
          <w:i w:val="0"/>
          <w:caps w:val="0"/>
          <w:color w:val="auto"/>
          <w:spacing w:val="0"/>
          <w:kern w:val="0"/>
          <w:sz w:val="32"/>
          <w:szCs w:val="32"/>
          <w:shd w:val="clear" w:color="090000" w:fill="FFFFFF"/>
          <w:lang w:val="en-US" w:eastAsia="zh-CN"/>
        </w:rPr>
        <w:t>职权，</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保障龙岩市律师协会各项工作的顺利开展，根据2017年9月1日修正的《中华人民共和国律师法》第四十五条、《福建省律师协会章程》第十二条第九款、第十五条第十二款及《福建省律师协会会费收取办法》第八条、第九条之规定，特制定本标准。</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第二条</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律师事务所和律师交纳的团体和个人会费，参照《福建省律师协会会费收取办法》的标准并以律师事务所住所地作为划分收费类别的依据，具体标准为：</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0"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1、在新罗区内执业的各律师事务所，团体会费参照《福建省律师协会会费收取办法》规定的龙岩市区内执业的律师事务所团体会费的130%交纳，律师个人会费参照《福建省律师协会会费收取办法》规定的龙岩市区内执业的律师个人会费的130%交纳。</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0"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2、在新罗区外执业的各律师事务所，团体会费参照《福建省律师协会会费收取办法》规定的龙岩市区外执业的律师事务所团体会费的130%交纳，律师个人会费参照《福建省律师协会会费收取办法》规定的龙岩市区外执业的律师个人会费的130%交纳。</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第三条</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xml:space="preserve">  公职、公司律师、法律援助中心机构中的律师应当交纳个人会费，会费标准参照《福建省律师协会会费收取办法》规定的龙岩市区外执业的律师个人会费交纳。</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第四条</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福建省律师协会会费收取办法》中规定的会费交纳标准修改时，本办法规定的会费交纳基数也相应修改，但30%的上浮标准不变。</w:t>
      </w:r>
    </w:p>
    <w:p>
      <w:pPr>
        <w:widowControl w:val="0"/>
        <w:wordWrap/>
        <w:adjustRightInd/>
        <w:snapToGrid/>
        <w:spacing w:before="0" w:after="0" w:line="600" w:lineRule="exact"/>
        <w:ind w:left="0" w:leftChars="0" w:right="0" w:firstLine="601" w:firstLineChars="187"/>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olor w:val="auto"/>
          <w:sz w:val="32"/>
          <w:szCs w:val="32"/>
        </w:rPr>
        <w:t>第五条</w:t>
      </w:r>
      <w:r>
        <w:rPr>
          <w:rFonts w:hint="eastAsia" w:ascii="仿宋_GB2312" w:hAnsi="仿宋_GB2312" w:eastAsia="仿宋_GB2312" w:cs="仿宋_GB2312"/>
          <w:color w:val="auto"/>
          <w:sz w:val="32"/>
          <w:szCs w:val="32"/>
        </w:rPr>
        <w:t xml:space="preserve"> 会员应根据福建省律师协会或龙岩市律师协会的通知按时交纳会费。</w:t>
      </w:r>
    </w:p>
    <w:p>
      <w:pPr>
        <w:widowControl w:val="0"/>
        <w:wordWrap/>
        <w:adjustRightInd/>
        <w:snapToGrid/>
        <w:spacing w:before="0" w:after="0" w:line="600" w:lineRule="exact"/>
        <w:ind w:left="0" w:leftChars="0" w:right="0" w:firstLine="601" w:firstLineChars="187"/>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rPr>
        <w:t xml:space="preserve"> 律师个人会</w:t>
      </w:r>
      <w:r>
        <w:rPr>
          <w:rFonts w:hint="eastAsia" w:ascii="仿宋_GB2312" w:hAnsi="仿宋_GB2312" w:eastAsia="仿宋_GB2312" w:cs="仿宋_GB2312"/>
          <w:color w:val="auto"/>
          <w:sz w:val="32"/>
          <w:szCs w:val="32"/>
          <w:lang w:eastAsia="zh-CN"/>
        </w:rPr>
        <w:t>费</w:t>
      </w:r>
      <w:r>
        <w:rPr>
          <w:rFonts w:hint="eastAsia" w:ascii="仿宋_GB2312" w:hAnsi="仿宋_GB2312" w:eastAsia="仿宋_GB2312" w:cs="仿宋_GB2312"/>
          <w:color w:val="auto"/>
          <w:sz w:val="32"/>
          <w:szCs w:val="32"/>
        </w:rPr>
        <w:t>的收取</w:t>
      </w:r>
      <w:r>
        <w:rPr>
          <w:rFonts w:hint="eastAsia" w:ascii="仿宋_GB2312" w:hAnsi="仿宋_GB2312" w:eastAsia="仿宋_GB2312" w:cs="仿宋_GB2312"/>
          <w:color w:val="auto"/>
          <w:sz w:val="32"/>
          <w:szCs w:val="32"/>
          <w:lang w:eastAsia="zh-CN"/>
        </w:rPr>
        <w:t>。</w:t>
      </w:r>
    </w:p>
    <w:p>
      <w:pPr>
        <w:widowControl w:val="0"/>
        <w:wordWrap/>
        <w:adjustRightInd/>
        <w:snapToGrid/>
        <w:spacing w:before="0" w:after="0" w:line="600" w:lineRule="exact"/>
        <w:ind w:left="0" w:leftChars="0" w:right="0" w:firstLine="598" w:firstLineChars="187"/>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律师变更执业机构时，转出律所（或单位，下同）与转</w:t>
      </w:r>
      <w:r>
        <w:rPr>
          <w:rFonts w:hint="eastAsia" w:ascii="仿宋_GB2312" w:hAnsi="仿宋_GB2312" w:eastAsia="仿宋_GB2312" w:cs="仿宋_GB2312"/>
          <w:color w:val="auto"/>
          <w:sz w:val="32"/>
          <w:szCs w:val="32"/>
          <w:lang w:eastAsia="zh-CN"/>
        </w:rPr>
        <w:t>入</w:t>
      </w:r>
      <w:r>
        <w:rPr>
          <w:rFonts w:hint="eastAsia" w:ascii="仿宋_GB2312" w:hAnsi="仿宋_GB2312" w:eastAsia="仿宋_GB2312" w:cs="仿宋_GB2312"/>
          <w:color w:val="auto"/>
          <w:sz w:val="32"/>
          <w:szCs w:val="32"/>
        </w:rPr>
        <w:t>律所（或单位，下同）应当明确转所前的律师个人会费由哪个律所交纳。转入律所应于接收该律师后15日内将协议结果（由转出所和转入所盖章确认）报龙岩市律师协会备案，作为龙岩市律师协会收费的依据。转入律所未按前述报备的，律师上一年度应交的个人会费由律师交纳个人会费时所在的律师事务所或者所在的单位进行交纳，龙岩市律师协会再不向原执业机构收取律师个人会费。</w:t>
      </w:r>
    </w:p>
    <w:p>
      <w:pPr>
        <w:widowControl w:val="0"/>
        <w:wordWrap/>
        <w:adjustRightInd/>
        <w:snapToGrid/>
        <w:spacing w:before="0" w:after="0" w:line="600" w:lineRule="exact"/>
        <w:ind w:left="0" w:leftChars="0" w:right="0" w:firstLine="598" w:firstLineChars="187"/>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律师转出至龙岩市辖区之外执业或者停止执业的，该律师个人会费由转出时或停止执业时所在的律师事务所</w:t>
      </w:r>
      <w:r>
        <w:rPr>
          <w:rFonts w:hint="eastAsia" w:ascii="仿宋_GB2312" w:hAnsi="仿宋_GB2312" w:eastAsia="仿宋_GB2312" w:cs="仿宋_GB2312"/>
          <w:color w:val="auto"/>
          <w:sz w:val="32"/>
          <w:szCs w:val="32"/>
          <w:lang w:val="en-US" w:eastAsia="zh-CN"/>
        </w:rPr>
        <w:t>交</w:t>
      </w:r>
      <w:r>
        <w:rPr>
          <w:rFonts w:hint="eastAsia" w:ascii="仿宋_GB2312" w:hAnsi="仿宋_GB2312" w:eastAsia="仿宋_GB2312" w:cs="仿宋_GB2312"/>
          <w:color w:val="auto"/>
          <w:sz w:val="32"/>
          <w:szCs w:val="32"/>
          <w:lang w:eastAsia="zh-CN"/>
        </w:rPr>
        <w:t>纳。</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 xml:space="preserve">第七条 </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xml:space="preserve"> 本会费收取标准与《福建省律师协会会费收取办法》规定的标准不一致的，以</w:t>
      </w:r>
      <w:r>
        <w:rPr>
          <w:rFonts w:hint="eastAsia" w:ascii="仿宋_GB2312" w:hAnsi="仿宋_GB2312" w:eastAsia="仿宋_GB2312" w:cs="仿宋_GB2312"/>
          <w:b w:val="0"/>
          <w:bCs w:val="0"/>
          <w:i w:val="0"/>
          <w:caps w:val="0"/>
          <w:color w:val="auto"/>
          <w:spacing w:val="0"/>
          <w:kern w:val="0"/>
          <w:sz w:val="32"/>
          <w:szCs w:val="32"/>
          <w:shd w:val="clear" w:color="090000" w:fill="FFFFFF"/>
          <w:lang w:val="en-US" w:eastAsia="zh-CN"/>
        </w:rPr>
        <w:t>本会费收取</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标准执行。除会费收取标准以外，其他未作明确规定的，按《福建省律师协会会费收取办法》规定执行。</w:t>
      </w:r>
    </w:p>
    <w:p>
      <w:pPr>
        <w:widowControl/>
        <w:pBdr>
          <w:top w:val="none" w:color="auto" w:sz="0" w:space="0"/>
          <w:left w:val="none" w:color="auto" w:sz="0" w:space="0"/>
          <w:bottom w:val="none" w:color="auto" w:sz="0" w:space="0"/>
          <w:right w:val="none" w:color="auto" w:sz="0" w:space="0"/>
        </w:pBdr>
        <w:shd w:val="clear" w:color="050000" w:fill="FFFFFF"/>
        <w:wordWrap/>
        <w:adjustRightInd/>
        <w:snapToGrid/>
        <w:spacing w:before="0" w:beforeAutospacing="0" w:after="0" w:afterAutospacing="0" w:line="600" w:lineRule="exact"/>
        <w:ind w:left="0" w:leftChars="0" w:right="0" w:firstLine="643" w:firstLineChars="200"/>
        <w:jc w:val="left"/>
        <w:textAlignment w:val="auto"/>
        <w:outlineLvl w:val="9"/>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pPr>
      <w:r>
        <w:rPr>
          <w:rFonts w:hint="eastAsia" w:ascii="仿宋_GB2312" w:hAnsi="仿宋_GB2312" w:eastAsia="仿宋_GB2312" w:cs="仿宋_GB2312"/>
          <w:b/>
          <w:bCs/>
          <w:i w:val="0"/>
          <w:caps w:val="0"/>
          <w:color w:val="auto"/>
          <w:spacing w:val="0"/>
          <w:kern w:val="0"/>
          <w:sz w:val="32"/>
          <w:szCs w:val="32"/>
          <w:shd w:val="clear" w:color="090000" w:fill="FFFFFF"/>
          <w:lang w:val="en-US" w:eastAsia="zh-CN"/>
        </w:rPr>
        <w:t>第八条</w:t>
      </w:r>
      <w:r>
        <w:rPr>
          <w:rFonts w:hint="eastAsia" w:ascii="仿宋_GB2312" w:hAnsi="仿宋_GB2312" w:eastAsia="仿宋_GB2312" w:cs="仿宋_GB2312"/>
          <w:b w:val="0"/>
          <w:i w:val="0"/>
          <w:caps w:val="0"/>
          <w:color w:val="auto"/>
          <w:spacing w:val="0"/>
          <w:kern w:val="0"/>
          <w:sz w:val="32"/>
          <w:szCs w:val="32"/>
          <w:shd w:val="clear" w:color="090000" w:fill="FFFFFF"/>
          <w:lang w:val="en-US" w:eastAsia="zh-CN"/>
        </w:rPr>
        <w:t xml:space="preserve">  本会费收取标准自2018年1月1日开始起算，会员应于每年3月30日前向龙岩市律师协会交纳上一年度的会费。</w:t>
      </w:r>
    </w:p>
    <w:sectPr>
      <w:headerReference r:id="rId4" w:type="default"/>
      <w:footerReference r:id="rId5" w:type="default"/>
      <w:pgMar w:top="1984" w:right="1474" w:bottom="181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正文 CS 字体)">
    <w:altName w:val="宋体"/>
    <w:panose1 w:val="00000000000000000000"/>
    <w:charset w:val="00"/>
    <w:family w:val="auto"/>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napToGrid w:val="0"/>
      <w:ind w:firstLine="560"/>
    </w:pPr>
    <w:r>
      <w:rPr>
        <w:rFonts w:ascii="Times New Roman" w:hAnsi="Times New Roman" w:eastAsia="宋体" w:cs="Times New Roman"/>
        <w:kern w:val="2"/>
        <w:sz w:val="21"/>
        <w:szCs w:val="24"/>
        <w:lang w:val="en-US" w:eastAsia="zh-CN" w:bidi="ar-SA"/>
      </w:rPr>
      <w:pict>
        <v:shape id="文本框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ind w:firstLine="560"/>
                </w:pPr>
                <w:r>
                  <w:rPr>
                    <w:rStyle w:val="5"/>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Style w:val="5"/>
                    <w:rFonts w:hint="eastAsia" w:ascii="仿宋_GB2312" w:hAnsi="仿宋_GB2312" w:cs="仿宋_GB2312"/>
                    <w:sz w:val="28"/>
                    <w:szCs w:val="28"/>
                  </w:rPr>
                  <w:instrText xml:space="preserve">PAGE  </w:instrText>
                </w:r>
                <w:r>
                  <w:rPr>
                    <w:rFonts w:hint="eastAsia" w:ascii="仿宋_GB2312" w:hAnsi="仿宋_GB2312" w:cs="仿宋_GB2312"/>
                    <w:sz w:val="28"/>
                    <w:szCs w:val="28"/>
                  </w:rPr>
                  <w:fldChar w:fldCharType="separate"/>
                </w:r>
                <w:r>
                  <w:rPr>
                    <w:rStyle w:val="5"/>
                    <w:rFonts w:hint="eastAsia" w:ascii="仿宋_GB2312" w:hAnsi="仿宋_GB2312" w:cs="仿宋_GB2312"/>
                    <w:sz w:val="28"/>
                    <w:szCs w:val="28"/>
                  </w:rPr>
                  <w:t>1</w:t>
                </w:r>
                <w:r>
                  <w:rPr>
                    <w:rFonts w:hint="eastAsia" w:ascii="仿宋_GB2312" w:hAnsi="仿宋_GB2312" w:cs="仿宋_GB2312"/>
                    <w:sz w:val="28"/>
                    <w:szCs w:val="28"/>
                  </w:rPr>
                  <w:fldChar w:fldCharType="end"/>
                </w:r>
                <w:r>
                  <w:rPr>
                    <w:rStyle w:val="5"/>
                    <w:rFonts w:hint="eastAsia" w:ascii="仿宋_GB2312" w:hAnsi="仿宋_GB2312" w:cs="仿宋_GB2312"/>
                    <w:sz w:val="28"/>
                    <w:szCs w:val="28"/>
                  </w:rPr>
                  <w:t xml:space="preserve"> —</w:t>
                </w:r>
              </w:p>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0"/>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semiHidden/>
    <w:unhideWhenUsed/>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2021-12-24T01:52:00Z</dcterms:created>
  <dc:creator>Administrator</dc:creator>
  <cp:lastModifiedBy>admin</cp:lastModifiedBy>
  <cp:lastPrinted>2021-12-24T08:38:00Z</cp:lastPrinted>
  <dcterms:modified xsi:type="dcterms:W3CDTF">2022-03-15T09:41:20Z</dcterms:modified>
  <dc:title>_x0001_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AFBD4ED31779402CBEE17D8C8B205786</vt:lpwstr>
  </property>
</Properties>
</file>