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wordWrap/>
        <w:autoSpaceDN w:val="0"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" w:hAnsi="仿宋" w:eastAsia="仿宋"/>
          <w:color w:val="333333"/>
          <w:sz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333333"/>
          <w:sz w:val="30"/>
          <w:shd w:val="clear" w:color="auto" w:fill="FFFFFF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982" w:tblpY="436"/>
        <w:tblOverlap w:val="never"/>
        <w:tblW w:w="103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69"/>
        <w:gridCol w:w="725"/>
        <w:gridCol w:w="1449"/>
        <w:gridCol w:w="1088"/>
        <w:gridCol w:w="1203"/>
        <w:gridCol w:w="1750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4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6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4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08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5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开始执业年月</w:t>
            </w:r>
          </w:p>
        </w:tc>
        <w:tc>
          <w:tcPr>
            <w:tcW w:w="210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所在律师事务所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4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赖宪平</w:t>
            </w:r>
          </w:p>
        </w:tc>
        <w:tc>
          <w:tcPr>
            <w:tcW w:w="72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1985.4</w:t>
            </w:r>
          </w:p>
        </w:tc>
        <w:tc>
          <w:tcPr>
            <w:tcW w:w="108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175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2011.1</w:t>
            </w:r>
          </w:p>
        </w:tc>
        <w:tc>
          <w:tcPr>
            <w:tcW w:w="210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福建天梁律师事务所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4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林斯微</w:t>
            </w:r>
          </w:p>
        </w:tc>
        <w:tc>
          <w:tcPr>
            <w:tcW w:w="72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男</w:t>
            </w:r>
          </w:p>
        </w:tc>
        <w:tc>
          <w:tcPr>
            <w:tcW w:w="144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1985.1</w:t>
            </w:r>
          </w:p>
        </w:tc>
        <w:tc>
          <w:tcPr>
            <w:tcW w:w="108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120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党员</w:t>
            </w:r>
          </w:p>
        </w:tc>
        <w:tc>
          <w:tcPr>
            <w:tcW w:w="175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2016.1</w:t>
            </w:r>
          </w:p>
        </w:tc>
        <w:tc>
          <w:tcPr>
            <w:tcW w:w="210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福建天衡联合（龙岩）律师事务所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4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罗伟</w:t>
            </w:r>
          </w:p>
        </w:tc>
        <w:tc>
          <w:tcPr>
            <w:tcW w:w="72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4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1987.11</w:t>
            </w:r>
          </w:p>
        </w:tc>
        <w:tc>
          <w:tcPr>
            <w:tcW w:w="108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20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民建</w:t>
            </w:r>
          </w:p>
        </w:tc>
        <w:tc>
          <w:tcPr>
            <w:tcW w:w="175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2015.9</w:t>
            </w:r>
          </w:p>
        </w:tc>
        <w:tc>
          <w:tcPr>
            <w:tcW w:w="210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福建金磊律师事务所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4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卢坤</w:t>
            </w:r>
          </w:p>
        </w:tc>
        <w:tc>
          <w:tcPr>
            <w:tcW w:w="72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1449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1988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88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1203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群众</w:t>
            </w:r>
          </w:p>
        </w:tc>
        <w:tc>
          <w:tcPr>
            <w:tcW w:w="175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福建天岩律师事务所</w:t>
            </w:r>
          </w:p>
        </w:tc>
      </w:tr>
    </w:tbl>
    <w:p>
      <w:pPr>
        <w:widowControl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600" w:firstLineChars="0"/>
        <w:jc w:val="left"/>
        <w:textAlignment w:val="auto"/>
        <w:outlineLvl w:val="9"/>
        <w:rPr>
          <w:rFonts w:hint="default" w:ascii="仿宋" w:hAnsi="仿宋" w:eastAsia="仿宋"/>
          <w:color w:val="333333"/>
          <w:sz w:val="30"/>
          <w:shd w:val="clear" w:color="auto" w:fill="FFFFFF"/>
          <w:lang w:val="en-US" w:eastAsia="zh-CN"/>
        </w:rPr>
      </w:pPr>
    </w:p>
    <w:p>
      <w:pPr>
        <w:widowControl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600" w:firstLineChars="0"/>
        <w:jc w:val="both"/>
        <w:textAlignment w:val="auto"/>
        <w:outlineLvl w:val="9"/>
        <w:rPr>
          <w:rFonts w:hint="default" w:ascii="仿宋" w:hAnsi="仿宋" w:eastAsia="仿宋"/>
          <w:color w:val="333333"/>
          <w:sz w:val="30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spacing w:line="330" w:lineRule="atLeast"/>
        <w:ind w:firstLine="600"/>
        <w:jc w:val="both"/>
        <w:rPr>
          <w:rFonts w:hint="default" w:ascii="瀹嬩綋" w:hAnsi="宋体"/>
          <w:color w:val="000000"/>
          <w:sz w:val="19"/>
          <w:shd w:val="clear" w:color="auto" w:fill="FFFFFF"/>
        </w:rPr>
      </w:pPr>
      <w:r>
        <w:rPr>
          <w:rFonts w:hint="default" w:ascii="仿宋" w:hAnsi="仿宋" w:eastAsia="仿宋"/>
          <w:color w:val="333333"/>
          <w:sz w:val="30"/>
          <w:shd w:val="clear" w:color="auto" w:fill="FFFFFF"/>
          <w:lang w:eastAsia="zh-CN"/>
        </w:rPr>
        <w:t xml:space="preserve"> </w:t>
      </w:r>
    </w:p>
    <w:p>
      <w:pPr>
        <w:rPr>
          <w:rFonts w:hint="default" w:ascii="宋体" w:hAnsi="宋体"/>
          <w:sz w:val="24"/>
        </w:rPr>
      </w:pPr>
    </w:p>
    <w:sectPr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62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2020-06-17T07:55:00Z</dcterms:created>
  <dc:creator>Administrator</dc:creator>
  <cp:lastModifiedBy>Administrator</cp:lastModifiedBy>
  <dcterms:modified xsi:type="dcterms:W3CDTF">2020-06-17T08:21:58Z</dcterms:modified>
  <dc:title>龙岩市律师协会关于更新入选福建省律师协会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