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宋体" w:hAnsi="宋体"/>
          <w:color w:val="000000"/>
          <w:sz w:val="28"/>
        </w:rPr>
      </w:pPr>
      <w:r>
        <w:rPr>
          <w:rFonts w:hint="eastAsia" w:ascii="宋体" w:hAnsi="宋体"/>
          <w:color w:val="000000"/>
          <w:sz w:val="28"/>
        </w:rPr>
        <w:t>附件1</w:t>
      </w:r>
    </w:p>
    <w:p>
      <w:pPr>
        <w:jc w:val="center"/>
        <w:rPr>
          <w:rFonts w:hint="default" w:ascii="新宋体" w:hAnsi="新宋体" w:eastAsia="新宋体"/>
          <w:b/>
          <w:color w:val="000000"/>
          <w:sz w:val="36"/>
        </w:rPr>
      </w:pPr>
      <w:r>
        <w:rPr>
          <w:rFonts w:hint="eastAsia" w:ascii="新宋体" w:hAnsi="新宋体" w:eastAsia="新宋体"/>
          <w:b/>
          <w:color w:val="000000"/>
          <w:sz w:val="36"/>
        </w:rPr>
        <w:t>福建省律师执业年度考核评定标准（试行）</w:t>
      </w:r>
    </w:p>
    <w:p>
      <w:pPr>
        <w:spacing w:line="600" w:lineRule="exact"/>
        <w:jc w:val="center"/>
        <w:rPr>
          <w:rFonts w:hint="eastAsia"/>
          <w:color w:val="000000"/>
          <w:sz w:val="28"/>
        </w:rPr>
      </w:pPr>
      <w:r>
        <w:rPr>
          <w:rFonts w:hint="eastAsia" w:ascii="宋体" w:hAnsi="宋体"/>
          <w:color w:val="000000"/>
          <w:sz w:val="28"/>
        </w:rPr>
        <w:t>（2014年1月17日省律协九届常务理事会第四次会议通过）</w:t>
      </w:r>
    </w:p>
    <w:p>
      <w:pPr>
        <w:spacing w:line="600" w:lineRule="exact"/>
        <w:ind w:firstLine="2800" w:firstLineChars="1000"/>
        <w:jc w:val="center"/>
        <w:rPr>
          <w:rFonts w:hint="eastAsia"/>
          <w:color w:val="000000"/>
          <w:sz w:val="28"/>
        </w:rPr>
      </w:pPr>
    </w:p>
    <w:p>
      <w:pPr>
        <w:spacing w:line="600" w:lineRule="exact"/>
        <w:ind w:firstLine="562" w:firstLineChars="200"/>
        <w:rPr>
          <w:rFonts w:hint="eastAsia"/>
          <w:color w:val="000000"/>
          <w:sz w:val="28"/>
        </w:rPr>
      </w:pPr>
      <w:r>
        <w:rPr>
          <w:rFonts w:hint="eastAsia" w:ascii="宋体" w:hAnsi="宋体"/>
          <w:b/>
          <w:color w:val="000000"/>
          <w:sz w:val="28"/>
        </w:rPr>
        <w:t>第一条</w:t>
      </w:r>
      <w:r>
        <w:rPr>
          <w:rFonts w:hint="eastAsia" w:ascii="宋体" w:hAnsi="宋体"/>
          <w:color w:val="000000"/>
          <w:sz w:val="28"/>
        </w:rPr>
        <w:t xml:space="preserve">  为了规范和细化律师事务所对律师执业年度考核工作，根据中华全国律师协会制定的《律师执业年度考核规则》，制定本评定标准。</w:t>
      </w:r>
    </w:p>
    <w:p>
      <w:pPr>
        <w:spacing w:line="600" w:lineRule="exact"/>
        <w:ind w:firstLine="562" w:firstLineChars="200"/>
        <w:rPr>
          <w:rFonts w:hint="eastAsia"/>
          <w:color w:val="000000"/>
          <w:sz w:val="28"/>
        </w:rPr>
      </w:pPr>
      <w:r>
        <w:rPr>
          <w:rFonts w:hint="eastAsia" w:ascii="宋体" w:hAnsi="宋体"/>
          <w:b/>
          <w:color w:val="000000"/>
          <w:sz w:val="28"/>
        </w:rPr>
        <w:t>第二条</w:t>
      </w:r>
      <w:r>
        <w:rPr>
          <w:rFonts w:hint="eastAsia" w:ascii="宋体" w:hAnsi="宋体"/>
          <w:color w:val="000000"/>
          <w:sz w:val="28"/>
        </w:rPr>
        <w:t xml:space="preserve">  在考核年度中因未交纳会费、继续教育培训未达到规定课时、拒绝办理法律援助案件、被投诉立案调查尚未结案的等情形，被“暂缓考核”的执业律师，不适用本评定标准。</w:t>
      </w:r>
    </w:p>
    <w:p>
      <w:pPr>
        <w:spacing w:line="600" w:lineRule="exact"/>
        <w:ind w:firstLine="562" w:firstLineChars="200"/>
        <w:rPr>
          <w:rFonts w:hint="eastAsia"/>
          <w:color w:val="000000"/>
          <w:sz w:val="28"/>
        </w:rPr>
      </w:pPr>
      <w:r>
        <w:rPr>
          <w:rFonts w:hint="eastAsia" w:ascii="宋体" w:hAnsi="宋体"/>
          <w:b/>
          <w:color w:val="000000"/>
          <w:sz w:val="28"/>
        </w:rPr>
        <w:t>第三条</w:t>
      </w:r>
      <w:r>
        <w:rPr>
          <w:rFonts w:hint="eastAsia" w:ascii="宋体" w:hAnsi="宋体"/>
          <w:color w:val="000000"/>
          <w:sz w:val="28"/>
        </w:rPr>
        <w:t xml:space="preserve">   本评定标准以中华全国律师协会制定的《律师执业年度考核规则》第八条规定的考核内容为依据，归纳并分为“遵纪守法、业务绩效、综合项目”三大方面，基本分100分，加分最多25分。</w:t>
      </w:r>
    </w:p>
    <w:p>
      <w:pPr>
        <w:spacing w:line="600" w:lineRule="exact"/>
        <w:ind w:firstLine="562" w:firstLineChars="200"/>
        <w:rPr>
          <w:rFonts w:hint="eastAsia"/>
          <w:color w:val="000000"/>
          <w:sz w:val="28"/>
        </w:rPr>
      </w:pPr>
      <w:r>
        <w:rPr>
          <w:rFonts w:hint="eastAsia" w:ascii="宋体" w:hAnsi="宋体"/>
          <w:b/>
          <w:color w:val="000000"/>
          <w:sz w:val="28"/>
        </w:rPr>
        <w:t xml:space="preserve">第四条 </w:t>
      </w:r>
      <w:r>
        <w:rPr>
          <w:rFonts w:hint="eastAsia" w:ascii="宋体" w:hAnsi="宋体"/>
          <w:color w:val="000000"/>
          <w:sz w:val="28"/>
        </w:rPr>
        <w:t xml:space="preserve"> </w:t>
      </w:r>
      <w:r>
        <w:rPr>
          <w:rFonts w:hint="eastAsia" w:ascii="黑体" w:hAnsi="宋体" w:eastAsia="黑体"/>
          <w:color w:val="000000"/>
          <w:sz w:val="28"/>
        </w:rPr>
        <w:t>遵纪守法方面</w:t>
      </w:r>
      <w:r>
        <w:rPr>
          <w:rFonts w:hint="eastAsia" w:ascii="宋体" w:hAnsi="宋体"/>
          <w:color w:val="000000"/>
          <w:sz w:val="28"/>
        </w:rPr>
        <w:t>（基本分40分）</w:t>
      </w:r>
    </w:p>
    <w:p>
      <w:pPr>
        <w:spacing w:line="600" w:lineRule="exact"/>
        <w:ind w:firstLine="560" w:firstLineChars="200"/>
        <w:rPr>
          <w:rFonts w:hint="eastAsia"/>
          <w:color w:val="000000"/>
          <w:sz w:val="28"/>
        </w:rPr>
      </w:pPr>
      <w:r>
        <w:rPr>
          <w:rFonts w:hint="eastAsia" w:ascii="宋体" w:hAnsi="宋体"/>
          <w:color w:val="000000"/>
          <w:sz w:val="28"/>
        </w:rPr>
        <w:t>1、律师在执业活动中遵守宪法、法律、法规和规章，遵守职业道德、执业纪律和行业规范的，得20分。有轻微违纪违规行为，并及时改正的，视情给予5-10分。</w:t>
      </w:r>
    </w:p>
    <w:p>
      <w:pPr>
        <w:spacing w:line="600" w:lineRule="exact"/>
        <w:ind w:firstLine="560" w:firstLineChars="200"/>
        <w:rPr>
          <w:rFonts w:hint="eastAsia"/>
          <w:color w:val="000000"/>
          <w:sz w:val="28"/>
        </w:rPr>
      </w:pPr>
      <w:r>
        <w:rPr>
          <w:rFonts w:hint="eastAsia" w:ascii="宋体" w:hAnsi="宋体"/>
          <w:color w:val="000000"/>
          <w:sz w:val="28"/>
        </w:rPr>
        <w:t>2、律师遵守律师协会章程，履行会员义务的，得10分。</w:t>
      </w:r>
    </w:p>
    <w:p>
      <w:pPr>
        <w:spacing w:line="600" w:lineRule="exact"/>
        <w:ind w:firstLine="560" w:firstLineChars="200"/>
        <w:rPr>
          <w:rFonts w:hint="eastAsia"/>
          <w:color w:val="000000"/>
          <w:sz w:val="28"/>
        </w:rPr>
      </w:pPr>
      <w:r>
        <w:rPr>
          <w:rFonts w:hint="eastAsia" w:ascii="宋体" w:hAnsi="宋体"/>
          <w:color w:val="000000"/>
          <w:sz w:val="28"/>
        </w:rPr>
        <w:t>3、律师遵守所在律师事务所章程及管理制度的，得10分。有任何一项违反管理制度行为的，一次扣5分，2次以上不得分。</w:t>
      </w:r>
    </w:p>
    <w:p>
      <w:pPr>
        <w:spacing w:line="600" w:lineRule="exact"/>
        <w:ind w:firstLine="562" w:firstLineChars="200"/>
        <w:rPr>
          <w:rFonts w:hint="eastAsia"/>
          <w:color w:val="000000"/>
          <w:sz w:val="28"/>
        </w:rPr>
      </w:pPr>
      <w:r>
        <w:rPr>
          <w:rFonts w:hint="eastAsia" w:ascii="宋体" w:hAnsi="宋体"/>
          <w:b/>
          <w:color w:val="000000"/>
          <w:sz w:val="28"/>
        </w:rPr>
        <w:t xml:space="preserve">第五条 </w:t>
      </w:r>
      <w:r>
        <w:rPr>
          <w:rFonts w:hint="eastAsia" w:ascii="黑体" w:hAnsi="宋体" w:eastAsia="黑体"/>
          <w:color w:val="000000"/>
          <w:sz w:val="28"/>
        </w:rPr>
        <w:t xml:space="preserve"> 业务绩效方面</w:t>
      </w:r>
      <w:r>
        <w:rPr>
          <w:rFonts w:hint="eastAsia" w:ascii="宋体" w:hAnsi="宋体"/>
          <w:color w:val="000000"/>
          <w:sz w:val="28"/>
        </w:rPr>
        <w:t>（基本分40分、最多加5分）</w:t>
      </w:r>
    </w:p>
    <w:p>
      <w:pPr>
        <w:spacing w:line="600" w:lineRule="exact"/>
        <w:ind w:firstLine="560" w:firstLineChars="200"/>
        <w:rPr>
          <w:rFonts w:hint="eastAsia"/>
          <w:color w:val="000000"/>
          <w:sz w:val="28"/>
        </w:rPr>
      </w:pPr>
      <w:r>
        <w:rPr>
          <w:rFonts w:hint="eastAsia" w:ascii="宋体" w:hAnsi="宋体"/>
          <w:color w:val="000000"/>
          <w:sz w:val="28"/>
        </w:rPr>
        <w:t>1、律师完成所在律师事务所规定的业务指标或本职工作的，得15分。达到规定指标50%的，得5分；达到规定指标75%的，得10分；超过规定指标50%的，加2分；超过规定指标1倍以上的，加5分。达不到规定指标50%的，不得分。本项最多加5分。</w:t>
      </w:r>
    </w:p>
    <w:p>
      <w:pPr>
        <w:spacing w:line="600" w:lineRule="exact"/>
        <w:ind w:firstLine="560" w:firstLineChars="200"/>
        <w:rPr>
          <w:rFonts w:hint="eastAsia"/>
          <w:color w:val="000000"/>
          <w:sz w:val="28"/>
        </w:rPr>
      </w:pPr>
      <w:r>
        <w:rPr>
          <w:rFonts w:hint="eastAsia" w:ascii="宋体" w:hAnsi="宋体"/>
          <w:color w:val="000000"/>
          <w:sz w:val="28"/>
        </w:rPr>
        <w:t>2、律师具备执业基本技能、服务质量符合要求的，得13分。律师事务所应根据律师的执业能力、服务质量状况，酌情给予5-13分。</w:t>
      </w:r>
    </w:p>
    <w:p>
      <w:pPr>
        <w:spacing w:line="600" w:lineRule="exact"/>
        <w:ind w:firstLine="560" w:firstLineChars="200"/>
        <w:rPr>
          <w:rFonts w:hint="eastAsia"/>
          <w:color w:val="000000"/>
          <w:sz w:val="28"/>
        </w:rPr>
      </w:pPr>
      <w:r>
        <w:rPr>
          <w:rFonts w:hint="eastAsia" w:ascii="宋体" w:hAnsi="宋体"/>
          <w:color w:val="000000"/>
          <w:sz w:val="28"/>
        </w:rPr>
        <w:t>3、律师业务档案符合要求（基本分12分）</w:t>
      </w:r>
    </w:p>
    <w:p>
      <w:pPr>
        <w:spacing w:line="600" w:lineRule="exact"/>
        <w:ind w:firstLine="560" w:firstLineChars="200"/>
        <w:rPr>
          <w:rFonts w:hint="eastAsia"/>
          <w:color w:val="000000"/>
          <w:sz w:val="28"/>
        </w:rPr>
      </w:pPr>
      <w:r>
        <w:rPr>
          <w:rFonts w:hint="eastAsia" w:ascii="宋体" w:hAnsi="宋体"/>
          <w:color w:val="000000"/>
          <w:sz w:val="28"/>
        </w:rPr>
        <w:t>办案卷宗（含法律顾问档案）归档率达100%的，得6分；归档率达90%以上的，得4分；归档率达80%以上的，得2分，归档率不足70%的，不得分。</w:t>
      </w:r>
    </w:p>
    <w:p>
      <w:pPr>
        <w:spacing w:line="600" w:lineRule="exact"/>
        <w:ind w:firstLine="560" w:firstLineChars="200"/>
        <w:rPr>
          <w:rFonts w:hint="eastAsia"/>
          <w:color w:val="000000"/>
          <w:sz w:val="28"/>
        </w:rPr>
      </w:pPr>
      <w:r>
        <w:rPr>
          <w:rFonts w:hint="eastAsia" w:ascii="宋体" w:hAnsi="宋体"/>
          <w:color w:val="000000"/>
          <w:sz w:val="28"/>
        </w:rPr>
        <w:t>办案卷宗抽检全部合格的，得6分；基本合格的，得4分；不合格的，不得分。</w:t>
      </w:r>
    </w:p>
    <w:p>
      <w:pPr>
        <w:spacing w:line="600" w:lineRule="exact"/>
        <w:ind w:firstLine="560" w:firstLineChars="200"/>
        <w:rPr>
          <w:rFonts w:hint="eastAsia"/>
          <w:color w:val="000000"/>
          <w:sz w:val="28"/>
        </w:rPr>
      </w:pPr>
      <w:r>
        <w:rPr>
          <w:rFonts w:hint="eastAsia" w:ascii="宋体" w:hAnsi="宋体"/>
          <w:color w:val="000000"/>
          <w:sz w:val="28"/>
        </w:rPr>
        <w:t>律师事务所应对律师办案卷宗和法律顾问档案进行评查，确定合格、基本合格、不合格卷宗的标准。</w:t>
      </w:r>
    </w:p>
    <w:p>
      <w:pPr>
        <w:spacing w:line="600" w:lineRule="exact"/>
        <w:ind w:firstLine="560" w:firstLineChars="200"/>
        <w:rPr>
          <w:rFonts w:hint="eastAsia"/>
          <w:color w:val="000000"/>
          <w:sz w:val="28"/>
        </w:rPr>
      </w:pPr>
      <w:r>
        <w:rPr>
          <w:rFonts w:hint="eastAsia" w:ascii="宋体" w:hAnsi="宋体"/>
          <w:color w:val="000000"/>
          <w:sz w:val="28"/>
        </w:rPr>
        <w:t>有条件的律师事务所应建立律师办案卷宗（含法律顾问档案）电子文档。</w:t>
      </w:r>
    </w:p>
    <w:p>
      <w:pPr>
        <w:spacing w:line="600" w:lineRule="exact"/>
        <w:ind w:firstLine="562" w:firstLineChars="200"/>
        <w:rPr>
          <w:rFonts w:hint="eastAsia"/>
          <w:color w:val="000000"/>
          <w:sz w:val="28"/>
        </w:rPr>
      </w:pPr>
      <w:r>
        <w:rPr>
          <w:rFonts w:hint="eastAsia" w:ascii="宋体" w:hAnsi="宋体"/>
          <w:b/>
          <w:color w:val="000000"/>
          <w:sz w:val="28"/>
        </w:rPr>
        <w:t>第六条</w:t>
      </w:r>
      <w:r>
        <w:rPr>
          <w:rFonts w:hint="eastAsia" w:ascii="宋体" w:hAnsi="宋体"/>
          <w:color w:val="000000"/>
          <w:sz w:val="28"/>
        </w:rPr>
        <w:t xml:space="preserve">  </w:t>
      </w:r>
      <w:r>
        <w:rPr>
          <w:rFonts w:hint="eastAsia" w:ascii="黑体" w:hAnsi="宋体" w:eastAsia="黑体"/>
          <w:color w:val="000000"/>
          <w:sz w:val="28"/>
        </w:rPr>
        <w:t>综合项目方面</w:t>
      </w:r>
      <w:r>
        <w:rPr>
          <w:rFonts w:hint="eastAsia" w:ascii="宋体" w:hAnsi="宋体"/>
          <w:color w:val="000000"/>
          <w:sz w:val="28"/>
        </w:rPr>
        <w:t>（基本分20分、最多加20分）</w:t>
      </w:r>
    </w:p>
    <w:p>
      <w:pPr>
        <w:spacing w:line="600" w:lineRule="exact"/>
        <w:ind w:firstLine="560" w:firstLineChars="200"/>
        <w:rPr>
          <w:rFonts w:hint="eastAsia"/>
          <w:color w:val="000000"/>
          <w:sz w:val="28"/>
        </w:rPr>
      </w:pPr>
      <w:r>
        <w:rPr>
          <w:rFonts w:hint="eastAsia" w:ascii="宋体" w:hAnsi="宋体"/>
          <w:color w:val="000000"/>
          <w:sz w:val="28"/>
        </w:rPr>
        <w:t>1、律师年度未接受法律援助案件指派任务的，得5分；办理法律援助案件的给予加分，每件加1分，本项最多加5分。</w:t>
      </w:r>
    </w:p>
    <w:p>
      <w:pPr>
        <w:spacing w:line="600" w:lineRule="exact"/>
        <w:ind w:firstLine="560" w:firstLineChars="200"/>
        <w:rPr>
          <w:rFonts w:hint="eastAsia"/>
          <w:color w:val="000000"/>
          <w:sz w:val="28"/>
        </w:rPr>
      </w:pPr>
      <w:r>
        <w:rPr>
          <w:rFonts w:hint="eastAsia" w:ascii="宋体" w:hAnsi="宋体"/>
          <w:color w:val="000000"/>
          <w:sz w:val="28"/>
        </w:rPr>
        <w:t>2、律师完成年度继续教育规定课时的，得10分。</w:t>
      </w:r>
    </w:p>
    <w:p>
      <w:pPr>
        <w:spacing w:line="600" w:lineRule="exact"/>
        <w:ind w:firstLine="560" w:firstLineChars="200"/>
        <w:rPr>
          <w:rFonts w:hint="eastAsia"/>
          <w:color w:val="000000"/>
          <w:sz w:val="28"/>
        </w:rPr>
      </w:pPr>
      <w:r>
        <w:rPr>
          <w:rFonts w:hint="eastAsia" w:ascii="宋体" w:hAnsi="宋体"/>
          <w:color w:val="000000"/>
          <w:sz w:val="28"/>
        </w:rPr>
        <w:t>3、律师积极参加所在律师事务所及律师协会和司法行政机关组织的社会服务活动的，得5分；未被要求参加社会服务活动的，得2分；拒绝参加或无故缺席的，1次扣2分，2次以上不得分。</w:t>
      </w:r>
    </w:p>
    <w:p>
      <w:pPr>
        <w:spacing w:line="600" w:lineRule="exact"/>
        <w:ind w:firstLine="560" w:firstLineChars="200"/>
        <w:rPr>
          <w:rFonts w:hint="eastAsia"/>
          <w:color w:val="000000"/>
          <w:sz w:val="28"/>
        </w:rPr>
      </w:pPr>
      <w:r>
        <w:rPr>
          <w:rFonts w:hint="eastAsia" w:ascii="宋体" w:hAnsi="宋体"/>
          <w:color w:val="000000"/>
          <w:sz w:val="28"/>
        </w:rPr>
        <w:t>4、律师积极撰写实务论文，参加省、市律协研讨活动的给予加分（论文合作撰写的按人数分配得分）。撰写论文1篇（含本数）以上的，加3分；论文获得市级奖励或参加省级交流研讨的，加1分；论文获省级以上奖励的，加2分。本项最多加5分。</w:t>
      </w:r>
    </w:p>
    <w:p>
      <w:pPr>
        <w:spacing w:line="600" w:lineRule="exact"/>
        <w:ind w:firstLine="560" w:firstLineChars="200"/>
        <w:rPr>
          <w:rFonts w:hint="eastAsia"/>
          <w:color w:val="000000"/>
          <w:sz w:val="28"/>
        </w:rPr>
      </w:pPr>
      <w:r>
        <w:rPr>
          <w:rFonts w:hint="eastAsia" w:ascii="宋体" w:hAnsi="宋体"/>
          <w:color w:val="000000"/>
          <w:sz w:val="28"/>
        </w:rPr>
        <w:t>5、律师积极参与社会服务及公益活动的给予加分。参加社会服务活动1次的，加1分；参加2次以上的，加2分；律师为扶贫、救灾、助学、社会公益等捐款捐物或有见义勇为行为的，加3分；本项最多加5分。</w:t>
      </w:r>
    </w:p>
    <w:p>
      <w:pPr>
        <w:spacing w:line="600" w:lineRule="exact"/>
        <w:ind w:firstLine="560" w:firstLineChars="200"/>
        <w:rPr>
          <w:rFonts w:hint="eastAsia"/>
          <w:color w:val="000000"/>
          <w:sz w:val="28"/>
        </w:rPr>
      </w:pPr>
      <w:r>
        <w:rPr>
          <w:rFonts w:hint="eastAsia" w:ascii="宋体" w:hAnsi="宋体"/>
          <w:color w:val="000000"/>
          <w:sz w:val="28"/>
        </w:rPr>
        <w:t>6、律师受奖励（不含论文获奖）给予加分。获县（市、区）级表彰奖励的，加1分；获设区市级表彰奖励的，加2分；获省级以上表彰奖励的，加3分，本项最多加5分。</w:t>
      </w:r>
    </w:p>
    <w:p>
      <w:pPr>
        <w:spacing w:line="600" w:lineRule="exact"/>
        <w:ind w:firstLine="560" w:firstLineChars="200"/>
        <w:rPr>
          <w:rFonts w:hint="eastAsia"/>
          <w:color w:val="000000"/>
          <w:sz w:val="28"/>
        </w:rPr>
      </w:pPr>
      <w:r>
        <w:rPr>
          <w:rFonts w:hint="eastAsia" w:ascii="宋体" w:hAnsi="宋体"/>
          <w:color w:val="000000"/>
          <w:sz w:val="28"/>
        </w:rPr>
        <w:t>7、当事人到律师所投诉律师，经查确有过错但不属于违法违规行为的，或者与当事人发生冲突、争吵，对律师所名誉和秩序造成不良影响的，酌情扣1-5分。</w:t>
      </w:r>
    </w:p>
    <w:p>
      <w:pPr>
        <w:spacing w:line="600" w:lineRule="exact"/>
        <w:ind w:firstLine="562" w:firstLineChars="200"/>
        <w:rPr>
          <w:rFonts w:hint="eastAsia"/>
          <w:color w:val="000000"/>
          <w:sz w:val="28"/>
        </w:rPr>
      </w:pPr>
      <w:r>
        <w:rPr>
          <w:rFonts w:hint="eastAsia" w:ascii="宋体" w:hAnsi="宋体"/>
          <w:b/>
          <w:color w:val="000000"/>
          <w:sz w:val="28"/>
        </w:rPr>
        <w:t xml:space="preserve">第七条 </w:t>
      </w:r>
      <w:r>
        <w:rPr>
          <w:rFonts w:hint="eastAsia" w:ascii="宋体" w:hAnsi="宋体"/>
          <w:color w:val="000000"/>
          <w:sz w:val="28"/>
        </w:rPr>
        <w:t xml:space="preserve"> 按本评定标准第四条、第五条、第六条，经综合评定后，得分在80分（含本数）以上的为“称职”； 得分在70分（含本数）以上，79分以下的为“基本称职”； 得分在69分以下的为“不称职”。</w:t>
      </w:r>
    </w:p>
    <w:p>
      <w:pPr>
        <w:spacing w:line="600" w:lineRule="exact"/>
        <w:ind w:firstLine="560"/>
        <w:rPr>
          <w:rFonts w:hint="eastAsia"/>
          <w:color w:val="000000"/>
          <w:sz w:val="28"/>
        </w:rPr>
      </w:pPr>
      <w:r>
        <w:rPr>
          <w:rFonts w:hint="eastAsia" w:ascii="宋体" w:hAnsi="宋体"/>
          <w:b/>
          <w:color w:val="000000"/>
          <w:sz w:val="28"/>
        </w:rPr>
        <w:t>第八</w:t>
      </w:r>
      <w:r>
        <w:rPr>
          <w:rFonts w:hint="eastAsia" w:ascii="宋体" w:hAnsi="宋体"/>
          <w:color w:val="000000"/>
          <w:sz w:val="28"/>
        </w:rPr>
        <w:t>条  根据中华全国律师协会制定的《律师执业年度考核规则》第十一条：律师执业活动有下列情形之一的，考核等次为“基本称职”：1、因执业不尽责、不诚信、不规范等行为受到律师事务所重点指导、监督或者受到当事人投诉被查实的；2、因违反职业道德、执业纪律或者行业规范受到行业惩戒，但已按要求改正的；3、因执业违法行为受到停止执业以下行政处罚的。第十二条：律师执业活动有下列情形之一的，考核等次为“不称职”：1、因违反职业道德、执业纪律或者行业规范受到行业惩戒，未按要求改正的；2、因执业违法行为受到停止执业行政处罚的；3、参加执业年度考核有弄虚作假行为或者拒不参加执业年度考核的；4、有其他违法违规、违反会员义务行为，造成恶劣社会影响的。</w:t>
      </w:r>
    </w:p>
    <w:p>
      <w:pPr>
        <w:spacing w:line="600" w:lineRule="exact"/>
        <w:ind w:firstLine="560"/>
        <w:rPr>
          <w:rFonts w:hint="eastAsia"/>
          <w:color w:val="000000"/>
          <w:sz w:val="28"/>
        </w:rPr>
      </w:pPr>
      <w:r>
        <w:rPr>
          <w:rFonts w:hint="eastAsia" w:ascii="宋体" w:hAnsi="宋体"/>
          <w:color w:val="000000"/>
          <w:sz w:val="28"/>
        </w:rPr>
        <w:t>有上述情形之一的，直接按中华全国律师协会的规定，评定为“基本称职”或“不称职”。</w:t>
      </w:r>
    </w:p>
    <w:p>
      <w:pPr>
        <w:spacing w:line="600" w:lineRule="exact"/>
        <w:ind w:firstLine="562" w:firstLineChars="200"/>
        <w:rPr>
          <w:rFonts w:hint="eastAsia"/>
          <w:color w:val="000000"/>
          <w:sz w:val="28"/>
        </w:rPr>
      </w:pPr>
      <w:r>
        <w:rPr>
          <w:rFonts w:hint="eastAsia" w:ascii="宋体" w:hAnsi="宋体"/>
          <w:b/>
          <w:color w:val="000000"/>
          <w:sz w:val="28"/>
        </w:rPr>
        <w:t xml:space="preserve">第九条 </w:t>
      </w:r>
      <w:r>
        <w:rPr>
          <w:rFonts w:hint="eastAsia" w:ascii="宋体" w:hAnsi="宋体"/>
          <w:color w:val="000000"/>
          <w:sz w:val="28"/>
        </w:rPr>
        <w:t xml:space="preserve"> 本评定标准经省律协第九届常务理事会第四次会议通过后试行，由省律协考核与奖励委员会负责解释。</w:t>
      </w:r>
    </w:p>
    <w:p>
      <w:pPr>
        <w:rPr>
          <w:rFonts w:hint="default" w:eastAsia="Times New Roman"/>
          <w:color w:val="000000"/>
        </w:rPr>
      </w:pPr>
    </w:p>
    <w:p>
      <w:pPr>
        <w:rPr>
          <w:rFonts w:hint="default" w:eastAsia="Times New Roman"/>
        </w:rPr>
      </w:pPr>
    </w:p>
    <w:p>
      <w:pPr>
        <w:rPr>
          <w:rFonts w:hint="default" w:eastAsia="Times New Roman"/>
        </w:rPr>
      </w:pPr>
    </w:p>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modern"/>
    <w:pitch w:val="default"/>
    <w:sig w:usb0="00000000" w:usb1="00000000" w:usb2="00000000" w:usb3="00000000" w:csb0="00000001" w:csb1="00000000"/>
  </w:font>
  <w:font w:name="Cambria Math CE">
    <w:altName w:val="Cambria"/>
    <w:panose1 w:val="00000000000000000000"/>
    <w:charset w:val="EE"/>
    <w:family w:val="roman"/>
    <w:pitch w:val="default"/>
    <w:sig w:usb0="00000000" w:usb1="00000000" w:usb2="00000000" w:usb3="00000000" w:csb0="00000002" w:csb1="00000000"/>
  </w:font>
  <w:font w:name="Cambria Math Cyr">
    <w:altName w:val="Cambria"/>
    <w:panose1 w:val="00000000000000000000"/>
    <w:charset w:val="CC"/>
    <w:family w:val="roman"/>
    <w:pitch w:val="default"/>
    <w:sig w:usb0="00000000" w:usb1="00000000" w:usb2="00000000" w:usb3="00000000" w:csb0="00000004" w:csb1="00000000"/>
  </w:font>
  <w:font w:name="Cambria Math Greek">
    <w:altName w:val="Cambria"/>
    <w:panose1 w:val="00000000000000000000"/>
    <w:charset w:val="A1"/>
    <w:family w:val="roman"/>
    <w:pitch w:val="default"/>
    <w:sig w:usb0="00000000" w:usb1="00000000" w:usb2="00000000" w:usb3="00000000" w:csb0="00000008" w:csb1="00000000"/>
  </w:font>
  <w:font w:name="Cambria Math Tur">
    <w:altName w:val="Cambria"/>
    <w:panose1 w:val="00000000000000000000"/>
    <w:charset w:val="A2"/>
    <w:family w:val="roman"/>
    <w:pitch w:val="default"/>
    <w:sig w:usb0="00000000" w:usb1="00000000" w:usb2="00000000" w:usb3="00000000" w:csb0="00000010" w:csb1="00000000"/>
  </w:font>
  <w:font w:name="Cambria Math Baltic">
    <w:altName w:val="Cambria"/>
    <w:panose1 w:val="00000000000000000000"/>
    <w:charset w:val="BA"/>
    <w:family w:val="roman"/>
    <w:pitch w:val="default"/>
    <w:sig w:usb0="00000000" w:usb1="00000000" w:usb2="00000000" w:usb3="00000000" w:csb0="00000080" w:csb1="00000000"/>
  </w:font>
  <w:font w:name="Cambria Math (Vietnamese)">
    <w:altName w:val="Cambria"/>
    <w:panose1 w:val="00000000000000000000"/>
    <w:charset w:val="A3"/>
    <w:family w:val="roman"/>
    <w:pitch w:val="default"/>
    <w:sig w:usb0="00000000" w:usb1="00000000" w:usb2="00000000" w:usb3="00000000" w:csb0="00000100" w:csb1="00000000"/>
  </w:font>
  <w:font w:name="NSimSun Western">
    <w:altName w:val="Segoe Print"/>
    <w:panose1 w:val="00000000000000000000"/>
    <w:charset w:val="00"/>
    <w:family w:val="modern"/>
    <w:pitch w:val="default"/>
    <w:sig w:usb0="00000000" w:usb1="00000000" w:usb2="00000000" w:usb3="00000000" w:csb0="00000001" w:csb1="00000000"/>
  </w:font>
  <w:font w:name="Cambria CE">
    <w:altName w:val="Cambria"/>
    <w:panose1 w:val="00000000000000000000"/>
    <w:charset w:val="EE"/>
    <w:family w:val="roman"/>
    <w:pitch w:val="default"/>
    <w:sig w:usb0="00000000" w:usb1="00000000" w:usb2="00000000" w:usb3="00000000" w:csb0="00000002" w:csb1="00000000"/>
  </w:font>
  <w:font w:name="Cambria Cyr">
    <w:altName w:val="Cambria"/>
    <w:panose1 w:val="00000000000000000000"/>
    <w:charset w:val="CC"/>
    <w:family w:val="roman"/>
    <w:pitch w:val="default"/>
    <w:sig w:usb0="00000000" w:usb1="00000000" w:usb2="00000000" w:usb3="00000000" w:csb0="00000004" w:csb1="00000000"/>
  </w:font>
  <w:font w:name="Cambria Greek">
    <w:altName w:val="Cambria"/>
    <w:panose1 w:val="00000000000000000000"/>
    <w:charset w:val="A1"/>
    <w:family w:val="roman"/>
    <w:pitch w:val="default"/>
    <w:sig w:usb0="00000000" w:usb1="00000000" w:usb2="00000000" w:usb3="00000000" w:csb0="00000008" w:csb1="00000000"/>
  </w:font>
  <w:font w:name="Cambria Tur">
    <w:altName w:val="Cambria"/>
    <w:panose1 w:val="00000000000000000000"/>
    <w:charset w:val="A2"/>
    <w:family w:val="roman"/>
    <w:pitch w:val="default"/>
    <w:sig w:usb0="00000000" w:usb1="00000000" w:usb2="00000000" w:usb3="00000000" w:csb0="00000010" w:csb1="00000000"/>
  </w:font>
  <w:font w:name="Cambria Baltic">
    <w:altName w:val="Cambria"/>
    <w:panose1 w:val="00000000000000000000"/>
    <w:charset w:val="BA"/>
    <w:family w:val="roman"/>
    <w:pitch w:val="default"/>
    <w:sig w:usb0="00000000" w:usb1="00000000" w:usb2="00000000" w:usb3="00000000" w:csb0="00000080" w:csb1="00000000"/>
  </w:font>
  <w:font w:name="Cambria (Vietnamese)">
    <w:altName w:val="Cambria"/>
    <w:panose1 w:val="00000000000000000000"/>
    <w:charset w:val="A3"/>
    <w:family w:val="roman"/>
    <w:pitch w:val="default"/>
    <w:sig w:usb0="00000000" w:usb1="00000000" w:usb2="00000000" w:usb3="00000000" w:csb0="00000100" w:csb1="00000000"/>
  </w:font>
  <w:font w:name="Calibri CE">
    <w:altName w:val="Calibri"/>
    <w:panose1 w:val="00000000000000000000"/>
    <w:charset w:val="EE"/>
    <w:family w:val="swiss"/>
    <w:pitch w:val="default"/>
    <w:sig w:usb0="00000000" w:usb1="00000000" w:usb2="00000000" w:usb3="00000000" w:csb0="00000002" w:csb1="00000000"/>
  </w:font>
  <w:font w:name="Calibri Cyr">
    <w:altName w:val="Calibri"/>
    <w:panose1 w:val="00000000000000000000"/>
    <w:charset w:val="CC"/>
    <w:family w:val="swiss"/>
    <w:pitch w:val="default"/>
    <w:sig w:usb0="00000000" w:usb1="00000000" w:usb2="00000000" w:usb3="00000000" w:csb0="00000004" w:csb1="00000000"/>
  </w:font>
  <w:font w:name="Calibri Greek">
    <w:altName w:val="Calibri"/>
    <w:panose1 w:val="00000000000000000000"/>
    <w:charset w:val="A1"/>
    <w:family w:val="swiss"/>
    <w:pitch w:val="default"/>
    <w:sig w:usb0="00000000" w:usb1="00000000" w:usb2="00000000" w:usb3="00000000" w:csb0="00000008" w:csb1="00000000"/>
  </w:font>
  <w:font w:name="Calibri Tur">
    <w:altName w:val="Calibri"/>
    <w:panose1 w:val="00000000000000000000"/>
    <w:charset w:val="A2"/>
    <w:family w:val="swiss"/>
    <w:pitch w:val="default"/>
    <w:sig w:usb0="00000000" w:usb1="00000000" w:usb2="00000000" w:usb3="00000000" w:csb0="00000010" w:csb1="00000000"/>
  </w:font>
  <w:font w:name="Calibri (Hebrew)">
    <w:altName w:val="Calibri"/>
    <w:panose1 w:val="00000000000000000000"/>
    <w:charset w:val="B1"/>
    <w:family w:val="swiss"/>
    <w:pitch w:val="default"/>
    <w:sig w:usb0="00000000" w:usb1="00000000" w:usb2="00000000" w:usb3="00000000" w:csb0="00000020" w:csb1="00000000"/>
  </w:font>
  <w:font w:name="Calibri (Arabic)">
    <w:altName w:val="Calibri"/>
    <w:panose1 w:val="00000000000000000000"/>
    <w:charset w:val="B2"/>
    <w:family w:val="swiss"/>
    <w:pitch w:val="default"/>
    <w:sig w:usb0="00000000" w:usb1="00000000" w:usb2="00000000" w:usb3="00000000" w:csb0="00000040" w:csb1="00000000"/>
  </w:font>
  <w:font w:name="Calibri Baltic">
    <w:altName w:val="Calibri"/>
    <w:panose1 w:val="00000000000000000000"/>
    <w:charset w:val="BA"/>
    <w:family w:val="swiss"/>
    <w:pitch w:val="default"/>
    <w:sig w:usb0="00000000" w:usb1="00000000" w:usb2="00000000" w:usb3="00000000" w:csb0="00000080" w:csb1="00000000"/>
  </w:font>
  <w:font w:name="Calibri (Vietnamese)">
    <w:altName w:val="Calibri"/>
    <w:panose1 w:val="00000000000000000000"/>
    <w:charset w:val="A3"/>
    <w:family w:val="swiss"/>
    <w:pitch w:val="default"/>
    <w:sig w:usb0="00000000" w:usb1="00000000" w:usb2="00000000" w:usb3="00000000" w:csb0="000001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hint="eastAsia" w:ascii="Times New Roman" w:hAnsi="Times New Roman" w:eastAsia="宋体"/>
      <w:kern w:val="2"/>
      <w:sz w:val="21"/>
      <w:lang w:val="en-US" w:eastAsia="zh-CN"/>
    </w:rPr>
  </w:style>
  <w:style w:type="character" w:default="1" w:styleId="4">
    <w:name w:val="Default Paragraph Font"/>
    <w:semiHidden/>
    <w:unhideWhenUsed/>
    <w:uiPriority w:val="0"/>
    <w:rPr>
      <w:rFonts w:hint="default"/>
    </w:rPr>
  </w:style>
  <w:style w:type="paragraph" w:styleId="2">
    <w:name w:val="footer"/>
    <w:basedOn w:val="1"/>
    <w:link w:val="3"/>
    <w:semiHidden/>
    <w:unhideWhenUsed/>
    <w:uiPriority w:val="0"/>
    <w:pPr>
      <w:tabs>
        <w:tab w:val="center" w:pos="4153"/>
        <w:tab w:val="right" w:pos="8306"/>
      </w:tabs>
      <w:snapToGrid w:val="0"/>
      <w:jc w:val="left"/>
    </w:pPr>
    <w:rPr>
      <w:rFonts w:hint="eastAsia"/>
      <w:sz w:val="18"/>
    </w:rPr>
  </w:style>
  <w:style w:type="character" w:customStyle="1" w:styleId="3">
    <w:name w:val="页脚 Char"/>
    <w:basedOn w:val="4"/>
    <w:link w:val="2"/>
    <w:uiPriority w:val="0"/>
    <w:rPr>
      <w:rFonts w:hint="eastAsia"/>
      <w:sz w:val="18"/>
    </w:rPr>
  </w:style>
  <w:style w:type="character" w:styleId="5">
    <w:name w:val="page number"/>
    <w:basedOn w:val="4"/>
    <w:semiHidden/>
    <w:unhideWhenUsed/>
    <w:uiPriority w:val="99"/>
    <w:rPr>
      <w:rFonts w:hint="default" w:ascii="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2020-03-03T03:13:14Z</dcterms:created>
  <cp:lastModifiedBy>admin</cp:lastModifiedBy>
  <dcterms:modified xsi:type="dcterms:W3CDTF">2020-03-03T03:13:25Z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