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pacing w:line="500" w:lineRule="exact"/>
        <w:ind w:left="0" w:leftChars="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律师专业水平面试与答辩题目库</w:t>
      </w:r>
    </w:p>
    <w:bookmarkEnd w:id="0"/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——【政治素质部分】</w:t>
      </w:r>
    </w:p>
    <w:p>
      <w:pPr>
        <w:spacing w:line="4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全面推进依法治国的总目标是什么？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答：建设中国特色社会主义法治体系，建设社会主义法治国家。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《中共中央关于全面推进依法治国若干重大问题的决定》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2、什么是五个现代化？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答：工业现代化、农业现代化、国防现代化、科学技术现代化、推进国家治理体系和治理能力现代化。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3、十九届四中全会有哪些主要议程？</w:t>
      </w:r>
    </w:p>
    <w:p>
      <w:pPr>
        <w:numPr>
          <w:numId w:val="0"/>
        </w:num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答：十九届四中全会主要议程是，中共中央政治局向中央委员会报告工作，研究坚持和完善中国特色社会主义制度、推进国家治理体系和治理能力现代化若干重大问题。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left="0" w:leftChars="0" w:firstLine="420" w:firstLineChars="15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4、坚持和完善中国特色社会主义制度、推进国家治理体系和治理能力现代化的总体目标是什么？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到我们党成立100年时，在各方面制度更加成熟更加定型上取得明显成效；到2035年，各方面制度更加完善，基本实现国家治理体系和治理能力现代化；到新中国成立100年时，全面实现国家治理体系和治理能力现代化，使中国特色社会主义制度更加巩固、优越性充分展现。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5、如何理解“国家治理体系”和“国家治理能力”？它们之间有联系吗？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国家治理体系是在党领导下管理国家的制度体系，包括经济、政治、文化、社会、生态文明和党的建设等各领域体制机制、法律法规安排，也就是一整套紧密相连、相互协调的国家制度。国家治理能力是运用国家制度管理社会各方面事务的能力，包括改革发展稳定、内政外交国防、治党治国治军等各个方面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6、开展“不忘初心、牢记使命”主题教育的总要求是什么？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答：守初心、担使命，找差距、抓落实。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7、开展“不忘初心、牢记使命”主题教育的重大意义是什么？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开展这次主题教育，是用习近平新时代中国特色社会主义思想武装全党的迫切需要，是推进新时代党的建设的迫切需要，是保持党同人民群众血肉联系的迫切需要，是实现党的十九大确定的目标任务的迫切需要。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8、中国共产党人的初心和使命是什么？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答：为中国人民谋幸福，为中华民族谋复兴。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9、“四个自信”具体是指什么？</w:t>
      </w:r>
    </w:p>
    <w:p>
      <w:pPr>
        <w:numPr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答：中国特色社会主义道路自信、理论自信、制度自信、文化自信。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10、中国特色社会主义事业“五位一体”总体布局是指什么？</w:t>
      </w:r>
    </w:p>
    <w:p>
      <w:pPr>
        <w:numPr>
          <w:numId w:val="0"/>
        </w:numPr>
        <w:spacing w:line="460" w:lineRule="exact"/>
        <w:ind w:left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答：经济建设、政治建设、文化建设、社会建设、生态文明建设五位一体总体布局。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——【律师制度、职业道德部分】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《中华人民共和国律师法》第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条规定的律师执业的基本原则是什么？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答：①合法性原则（该条第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款：‘律师执业必须遵守宪法和法律，恪守律师职业道德和执业纪律’）；②以事实为根据以法律为准绳原则（该条第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款：‘律师执业必须以事实为根据，以法律为准绳’）；③接受监督原则（该条第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款：‘律师执业应当接受国家、社会和当事人的监督’）；④法律保护原则（该条第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款，以及该法第</w:t>
      </w:r>
      <w:r>
        <w:rPr>
          <w:rFonts w:ascii="仿宋_GB2312" w:eastAsia="仿宋_GB2312"/>
          <w:sz w:val="28"/>
          <w:szCs w:val="28"/>
        </w:rPr>
        <w:t>36</w:t>
      </w:r>
      <w:r>
        <w:rPr>
          <w:rFonts w:hint="eastAsia" w:ascii="仿宋_GB2312" w:eastAsia="仿宋_GB2312"/>
          <w:sz w:val="28"/>
          <w:szCs w:val="28"/>
        </w:rPr>
        <w:t>条、第</w:t>
      </w:r>
      <w:r>
        <w:rPr>
          <w:rFonts w:ascii="仿宋_GB2312" w:eastAsia="仿宋_GB2312"/>
          <w:sz w:val="28"/>
          <w:szCs w:val="28"/>
        </w:rPr>
        <w:t>37</w:t>
      </w:r>
      <w:r>
        <w:rPr>
          <w:rFonts w:hint="eastAsia" w:ascii="仿宋_GB2312" w:eastAsia="仿宋_GB2312"/>
          <w:sz w:val="28"/>
          <w:szCs w:val="28"/>
        </w:rPr>
        <w:t>条、第</w:t>
      </w:r>
      <w:r>
        <w:rPr>
          <w:rFonts w:ascii="仿宋_GB2312" w:eastAsia="仿宋_GB2312"/>
          <w:sz w:val="28"/>
          <w:szCs w:val="28"/>
        </w:rPr>
        <w:t>46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项）。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12、</w:t>
      </w:r>
      <w:r>
        <w:rPr>
          <w:rFonts w:hint="eastAsia" w:ascii="仿宋_GB2312" w:eastAsia="仿宋_GB2312"/>
          <w:sz w:val="28"/>
          <w:szCs w:val="28"/>
        </w:rPr>
        <w:t>《中华人民共和国律师法》第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hint="eastAsia" w:ascii="仿宋_GB2312" w:eastAsia="仿宋_GB2312"/>
          <w:sz w:val="28"/>
          <w:szCs w:val="28"/>
        </w:rPr>
        <w:t>条规定的律师在执业中不得有的行为都有哪些？（列举至少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项）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①私自接受委托、收取费用，接受委托人的财物或者其他利益；②利用提供法律服务的便利牟取当事人争议的权益；③接受对方当事人的财物或者其他利益，与对方当事人或者第三人恶意串通，侵害委托人的权益；④违反规定会见法官、检察官、仲裁员以及其他有关工作人员；⑤向法官、检察官、仲裁员以及其他有关工作人员行贿，介绍贿赂或者指使、诱导当事人行贿，或者以其他不正当方式影响法官、检察官、仲裁员以及其他有关工作人员依法办理案件；⑥故意提供虚假证据或者威胁、利诱他人提供虚假证据，妨碍对方当事人合法取得证据；⑦煽动、教唆当事人采取扰乱公共秩序、危害公共安全等非法手段解决争议；⑧扰乱法庭、仲裁庭秩序，干扰诉讼、仲裁活动的正常进行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13、</w:t>
      </w:r>
      <w:r>
        <w:rPr>
          <w:rFonts w:hint="eastAsia" w:ascii="仿宋_GB2312" w:eastAsia="仿宋_GB2312"/>
          <w:sz w:val="28"/>
          <w:szCs w:val="28"/>
        </w:rPr>
        <w:t>《中华人民共和国律师法》第</w:t>
      </w:r>
      <w:r>
        <w:rPr>
          <w:rFonts w:ascii="仿宋_GB2312" w:eastAsia="仿宋_GB2312"/>
          <w:sz w:val="28"/>
          <w:szCs w:val="28"/>
        </w:rPr>
        <w:t>49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项规定的“向法官、检察官、仲裁员以及其他有关工作人员行贿、介绍贿赂或者指使、诱导当事人行贿”的违法行为，具体有哪些？（列举三种以上）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答：①利用承办案件的法官、检察官、仲裁员以及其他工作人员或者其近亲属举办婚丧喜庆事宜等时机，以向其馈赠礼品、金钱、有价证券等方式行贿的；②以装修住宅、报销个人费用、资助旅游娱乐等方式向法官、检察官、仲裁员以及其他工作人员行贿的；③以提供交通工具、通讯工具、住房或者其他物品等方式向法官、检察官、仲裁员以及其他工作人员行贿的；④以影响案件办理结果为目的，直接向法官、检察官、仲裁员以及其他工作人员行贿、介绍贿赂或者指使、诱导当事人行贿的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14、</w:t>
      </w:r>
      <w:r>
        <w:rPr>
          <w:rFonts w:hint="eastAsia" w:ascii="仿宋_GB2312" w:eastAsia="仿宋_GB2312"/>
          <w:sz w:val="28"/>
          <w:szCs w:val="28"/>
        </w:rPr>
        <w:t>对律师违法行为的行政处罚种类都有哪些？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答：①警告；②罚款；③没收违法所得；④停止执业；⑤吊销律师执业证书。</w:t>
      </w:r>
    </w:p>
    <w:p>
      <w:pPr>
        <w:numPr>
          <w:numId w:val="0"/>
        </w:numPr>
        <w:spacing w:line="460" w:lineRule="exact"/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15、律师职业道德的基本准则包括哪几个方面？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答：忠诚、为民、法治、正义、诚信、敬业六个方面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《律师职业道德基本准则》第1条至第6条。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16、《律师职业道德基本准则》第5条，是关于诚信这一律师职业道德基本准则的规定，简述其主要内容。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答：律师应当牢固树立诚信意识，自觉遵守执业行为规范，在执业中恪尽职守、诚实守信、勤勉尽责、严格自律，积极履行合同约定义务和法定义务，维护委托人合法权益，保守在执业活动中知悉的国家机密、商业秘密和个人隐私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17、</w:t>
      </w:r>
      <w:r>
        <w:rPr>
          <w:rFonts w:hint="eastAsia" w:ascii="仿宋_GB2312" w:hAnsi="宋体" w:eastAsia="仿宋_GB2312" w:cs="宋体"/>
          <w:sz w:val="28"/>
          <w:szCs w:val="28"/>
        </w:rPr>
        <w:t>《律师执业行为规范》第</w:t>
      </w:r>
      <w:r>
        <w:rPr>
          <w:rFonts w:ascii="仿宋_GB2312" w:hAnsi="宋体" w:eastAsia="仿宋_GB2312" w:cs="宋体"/>
          <w:sz w:val="28"/>
          <w:szCs w:val="28"/>
        </w:rPr>
        <w:t>78</w:t>
      </w:r>
      <w:r>
        <w:rPr>
          <w:rFonts w:hint="eastAsia" w:ascii="仿宋_GB2312" w:hAnsi="宋体" w:eastAsia="仿宋_GB2312" w:cs="宋体"/>
          <w:sz w:val="28"/>
          <w:szCs w:val="28"/>
        </w:rPr>
        <w:t>条所列律师执业的不正当竞争行为，包括哪些？</w:t>
      </w:r>
      <w:r>
        <w:rPr>
          <w:rFonts w:hint="eastAsia" w:ascii="仿宋_GB2312" w:eastAsia="仿宋_GB2312"/>
          <w:sz w:val="28"/>
          <w:szCs w:val="28"/>
        </w:rPr>
        <w:t>（列举三种以上情形）</w:t>
      </w:r>
    </w:p>
    <w:p>
      <w:pPr>
        <w:spacing w:line="46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答：①诋毁、诽谤其他律师或者律师事务所信誉、声誉；②无正当理由，以低于同地区同行业收费标准为条件争揽业务，或者采用承诺给予客户、中介人、推荐人回扣、馈赠金钱、财物或者其他利益等方式争揽业务；③故意在委托人与其代理律师之间制造纠纷；④向委托人明示或者暗示自己或其所属律师事务所与司法机关、政府机关、社会团体及其工作人员具有特殊关系；⑤就法律服务结果或者诉讼结果作出虚假承诺；⑥明示或暗示可以帮助委托人达到不正当目的，或者以不正当的方式、手段达到委托人的目的。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18、</w:t>
      </w:r>
      <w:r>
        <w:rPr>
          <w:rFonts w:hint="eastAsia" w:ascii="仿宋_GB2312" w:eastAsia="仿宋_GB2312"/>
          <w:sz w:val="28"/>
          <w:szCs w:val="28"/>
        </w:rPr>
        <w:t>对律师违法行为的行政处罚种类都有哪些？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答：①警告；②罚款；③没收违法所得；④停止执业；⑤吊销律师执业证书。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19、</w:t>
      </w:r>
      <w:r>
        <w:rPr>
          <w:rFonts w:hint="eastAsia" w:ascii="仿宋_GB2312" w:eastAsia="仿宋_GB2312"/>
          <w:sz w:val="28"/>
          <w:szCs w:val="28"/>
        </w:rPr>
        <w:t>律师私自接受委托、收取费用的，将受到什么样的行政处罚？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万元以下罚款；有违法所得的，没收违法所得；情节严重的，停止执业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个月。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20、</w:t>
      </w:r>
      <w:r>
        <w:rPr>
          <w:rFonts w:hint="eastAsia" w:ascii="仿宋_GB2312" w:eastAsia="仿宋_GB2312"/>
          <w:sz w:val="28"/>
          <w:szCs w:val="28"/>
        </w:rPr>
        <w:t>律师接受委托后，无正当理由不得拒绝辩护或代理，但在法律规定的哪些情形下，有权拒绝辩护或者代理？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答：委托事项违法；委托人利用律师提供的服务从事违法活动；委托人故意隐瞒与案件有关的重要事实。</w:t>
      </w:r>
    </w:p>
    <w:p>
      <w:pPr>
        <w:pStyle w:val="7"/>
        <w:spacing w:line="500" w:lineRule="exact"/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41" w:right="1588" w:bottom="1588" w:left="158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025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">
    <w:name w:val="页眉 Char Char"/>
    <w:basedOn w:val="5"/>
    <w:link w:val="3"/>
    <w:uiPriority w:val="99"/>
    <w:rPr>
      <w:sz w:val="18"/>
      <w:szCs w:val="18"/>
    </w:rPr>
  </w:style>
  <w:style w:type="character" w:customStyle="1" w:styleId="10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2019-12-07T03:24:00Z</dcterms:created>
  <dc:creator>admin</dc:creator>
  <cp:lastModifiedBy>admin</cp:lastModifiedBy>
  <cp:lastPrinted>2019-12-09T07:27:00Z</cp:lastPrinted>
  <dcterms:modified xsi:type="dcterms:W3CDTF">2019-12-19T09:29:16Z</dcterms:modified>
  <dc:title>龙律〔2019〕54号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