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eastAsia="黑体" w:cs="宋体"/>
          <w:sz w:val="32"/>
          <w:szCs w:val="32"/>
        </w:rPr>
      </w:pPr>
      <w:r>
        <w:rPr>
          <w:rFonts w:hint="eastAsia" w:ascii="黑体" w:eastAsia="黑体" w:cs="宋体"/>
          <w:sz w:val="32"/>
          <w:szCs w:val="32"/>
        </w:rPr>
        <w:t>附件一：</w:t>
      </w:r>
    </w:p>
    <w:p>
      <w:pPr>
        <w:ind w:firstLine="720"/>
        <w:jc w:val="center"/>
        <w:rPr>
          <w:rFonts w:ascii="方正小标宋简体" w:eastAsia="方正小标宋简体" w:cs="宋体"/>
          <w:sz w:val="36"/>
          <w:szCs w:val="36"/>
        </w:rPr>
      </w:pPr>
      <w:r>
        <w:rPr>
          <w:rFonts w:hint="eastAsia" w:ascii="方正小标宋简体" w:eastAsia="方正小标宋简体" w:cs="宋体"/>
          <w:sz w:val="36"/>
          <w:szCs w:val="36"/>
        </w:rPr>
        <w:t>2019年福建律师论坛主题及参考选题</w:t>
      </w:r>
    </w:p>
    <w:p>
      <w:pPr>
        <w:spacing w:line="500" w:lineRule="exact"/>
        <w:ind w:firstLine="640" w:firstLineChars="200"/>
        <w:rPr>
          <w:rFonts w:ascii="仿宋_GB2312" w:hAnsi="黑体" w:eastAsia="仿宋_GB2312" w:cs="宋体"/>
          <w:sz w:val="32"/>
          <w:szCs w:val="32"/>
        </w:rPr>
      </w:pPr>
      <w:r>
        <w:rPr>
          <w:rFonts w:hint="eastAsia" w:ascii="黑体" w:hAnsi="宋体" w:eastAsia="黑体" w:cs="宋体"/>
          <w:sz w:val="32"/>
          <w:szCs w:val="32"/>
        </w:rPr>
        <w:t>论坛主题：</w:t>
      </w:r>
      <w:r>
        <w:rPr>
          <w:rFonts w:hint="eastAsia" w:ascii="仿宋_GB2312" w:hAnsi="黑体" w:eastAsia="仿宋_GB2312" w:cs="宋体"/>
          <w:sz w:val="32"/>
          <w:szCs w:val="32"/>
        </w:rPr>
        <w:t>优化营商环境与律师业发展</w:t>
      </w:r>
    </w:p>
    <w:p>
      <w:pPr>
        <w:spacing w:line="500" w:lineRule="exact"/>
        <w:ind w:firstLine="640" w:firstLineChars="200"/>
        <w:rPr>
          <w:rFonts w:ascii="黑体" w:hAnsi="宋体" w:eastAsia="黑体" w:cs="宋体"/>
          <w:sz w:val="32"/>
          <w:szCs w:val="32"/>
        </w:rPr>
      </w:pPr>
      <w:r>
        <w:rPr>
          <w:rFonts w:hint="eastAsia" w:ascii="黑体" w:hAnsi="宋体" w:eastAsia="黑体" w:cs="宋体"/>
          <w:sz w:val="32"/>
          <w:szCs w:val="32"/>
        </w:rPr>
        <w:t>一：律师行业发展与律所管理之道</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参考选题：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1、优化营商环境中律师的机遇与挑战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2、律师的专业化与行业化发展趋势</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3、智能法律驱动服务的无边界合作</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4、青年律师“创造性能力”的培养</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5、律所管理的致胜之道</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6、律所的涉外法律服务布局</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7、律所法律服务大数据分析</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8、律所跨代管理的实践</w:t>
      </w:r>
    </w:p>
    <w:p>
      <w:pPr>
        <w:spacing w:line="500" w:lineRule="exact"/>
        <w:ind w:firstLine="640" w:firstLineChars="200"/>
        <w:rPr>
          <w:rFonts w:ascii="黑体" w:hAnsi="宋体" w:eastAsia="黑体" w:cs="宋体"/>
          <w:sz w:val="32"/>
          <w:szCs w:val="32"/>
        </w:rPr>
      </w:pPr>
      <w:r>
        <w:rPr>
          <w:rFonts w:hint="eastAsia" w:ascii="黑体" w:hAnsi="宋体" w:eastAsia="黑体" w:cs="宋体"/>
          <w:sz w:val="32"/>
          <w:szCs w:val="32"/>
        </w:rPr>
        <w:t>二：民商法发展与民商事营商环境法治化</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参考选题：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1、民法典物权法编编纂中的热点问题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2、民法典合同法编编纂中的热点问题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3、民法典人格权编编纂中的热点问题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4、民法典婚姻家庭编编纂中的热点问题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5、民法典继承编编纂中的热点问题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6、民法典侵权法编编纂中的热点问题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7、营商环境法治化与商事法律现代化</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8、营商环境法治化视角下的公司法、证券法修订</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9、营商环境法治化背景下外商投资法与外商投资相关法律法规的协调发展</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10、营商环境优化与金融法治（信托、保险、基金、票据等）国际化、现代化</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11、营商环境优化与破产法实施的完善</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12、营商环境的地方性竞争与民营企业及企业家权益保护</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13、营商环境法治化下人工智能、大数据发展、生物（基因）技术与民商法新问题</w:t>
      </w:r>
    </w:p>
    <w:p>
      <w:pPr>
        <w:spacing w:line="500" w:lineRule="exact"/>
        <w:ind w:firstLine="640" w:firstLineChars="200"/>
        <w:rPr>
          <w:rFonts w:ascii="仿宋_GB2312" w:hAnsi="黑体" w:eastAsia="仿宋_GB2312" w:cs="宋体"/>
          <w:color w:val="FF0000"/>
          <w:sz w:val="32"/>
          <w:szCs w:val="32"/>
        </w:rPr>
      </w:pPr>
      <w:r>
        <w:rPr>
          <w:rFonts w:hint="eastAsia" w:ascii="仿宋_GB2312" w:hAnsi="黑体" w:eastAsia="仿宋_GB2312" w:cs="宋体"/>
          <w:color w:val="FF0000"/>
          <w:sz w:val="32"/>
          <w:szCs w:val="32"/>
        </w:rPr>
        <w:t>14、优化营商环境与充分发挥律师在民商案件执行中作用</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color w:val="FF0000"/>
          <w:sz w:val="32"/>
          <w:szCs w:val="32"/>
        </w:rPr>
        <w:t>15、优化营商环境与法治政府建设</w:t>
      </w:r>
    </w:p>
    <w:p>
      <w:pPr>
        <w:spacing w:line="500" w:lineRule="exact"/>
        <w:ind w:firstLine="640" w:firstLineChars="200"/>
        <w:rPr>
          <w:rFonts w:ascii="黑体" w:hAnsi="宋体" w:eastAsia="黑体" w:cs="宋体"/>
          <w:sz w:val="32"/>
          <w:szCs w:val="32"/>
        </w:rPr>
      </w:pPr>
      <w:r>
        <w:rPr>
          <w:rFonts w:hint="eastAsia" w:ascii="黑体" w:hAnsi="宋体" w:eastAsia="黑体" w:cs="宋体"/>
          <w:sz w:val="32"/>
          <w:szCs w:val="32"/>
        </w:rPr>
        <w:t>三：扫黒除恶专项斗争形势下的律师辩护及风险防范</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参考选题：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1、新形势下律师刑事业务拓展与执业风险防范</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2、扫黑除恶态势下的律师执业风险防范</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3、企业刑事风险防范与律师业务拓展</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4、刑事诉讼法的修改与律师刑事业务的新发展</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5、刑事辩护全覆盖与精准化辩护</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6、律师在案例指导制度与影响性诉讼发展中的作用</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7、大数据、人工智能与案例研究</w:t>
      </w:r>
    </w:p>
    <w:p>
      <w:pPr>
        <w:spacing w:line="500" w:lineRule="exact"/>
        <w:ind w:firstLine="640" w:firstLineChars="200"/>
        <w:rPr>
          <w:rFonts w:ascii="仿宋_GB2312" w:hAnsi="黑体" w:eastAsia="仿宋_GB2312" w:cs="宋体"/>
          <w:color w:val="FF0000"/>
          <w:sz w:val="32"/>
          <w:szCs w:val="32"/>
        </w:rPr>
      </w:pPr>
      <w:r>
        <w:rPr>
          <w:rFonts w:hint="eastAsia" w:ascii="仿宋_GB2312" w:hAnsi="黑体" w:eastAsia="仿宋_GB2312" w:cs="宋体"/>
          <w:color w:val="FF0000"/>
          <w:sz w:val="32"/>
          <w:szCs w:val="32"/>
        </w:rPr>
        <w:t>8、优化营商环境与民营企业家风险防范</w:t>
      </w:r>
    </w:p>
    <w:p>
      <w:pPr>
        <w:ind w:firstLine="640" w:firstLineChars="200"/>
        <w:rPr>
          <w:rFonts w:ascii="仿宋_GB2312" w:hAnsi="黑体" w:eastAsia="仿宋_GB2312" w:cs="宋体"/>
          <w:color w:val="FF0000"/>
          <w:sz w:val="32"/>
          <w:szCs w:val="32"/>
        </w:rPr>
      </w:pPr>
      <w:r>
        <w:rPr>
          <w:rFonts w:hint="eastAsia" w:ascii="仿宋_GB2312" w:hAnsi="黑体" w:eastAsia="仿宋_GB2312" w:cs="宋体"/>
          <w:color w:val="FF0000"/>
          <w:sz w:val="32"/>
          <w:szCs w:val="32"/>
        </w:rPr>
        <w:t>9、优化营商环境与刑事强制措施的改革</w:t>
      </w:r>
    </w:p>
    <w:p>
      <w:pPr>
        <w:spacing w:line="500" w:lineRule="exact"/>
        <w:ind w:firstLine="640" w:firstLineChars="200"/>
        <w:rPr>
          <w:rFonts w:ascii="黑体" w:hAnsi="宋体" w:eastAsia="黑体" w:cs="宋体"/>
          <w:sz w:val="32"/>
          <w:szCs w:val="32"/>
        </w:rPr>
      </w:pPr>
      <w:r>
        <w:rPr>
          <w:rFonts w:hint="eastAsia" w:ascii="黑体" w:hAnsi="宋体" w:eastAsia="黑体" w:cs="宋体"/>
          <w:sz w:val="32"/>
          <w:szCs w:val="32"/>
        </w:rPr>
        <w:t>四：</w:t>
      </w:r>
      <w:r>
        <w:rPr>
          <w:rFonts w:ascii="黑体" w:hAnsi="宋体" w:eastAsia="黑体" w:cs="宋体"/>
          <w:sz w:val="32"/>
          <w:szCs w:val="32"/>
        </w:rPr>
        <w:t>国际经贸新情势下的涉外法律服务</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参考选题：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1、关于我国《海商法》的修改</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2、关于外派船员权益的法律制度（福建是船员输出大省）</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3、我国我省典型涉外海事审判案例分析</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4、海峡两岸海陆联运、直航及海事司法协助法律问题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5、海洋环境保护及涉外船舶污染损害赔偿</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6、邮轮旅游法律制度（厦门是邮轮母港）</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7、游艇法律问题（厦门、平潭都在发展游艇基地）</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8、境外投资时资金离岸的法律风控问题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9、《外商投资法》中的投资促进和外国投资者保护问题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10、两岸民商事案件的管辖权冲突和协调</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11、国际商事仲裁中国司法新动向</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12、国际商事仲裁条款效力认定相关问题企业涉外商事交易的尽职调查</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13、一带一路倡议下的中国司法实践与发展</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14、海外并购的流程和主要风险</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15、中美经贸争端背景下的专利之争</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16、专利恶意诉讼的预防与应对</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17、涉外贴牌加工企业的困境与出路</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18、各国针对互联网中的新型不正当竞争行为的法律规制</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19、“平行进口”中涉及的商标侵权和不正当竞争问题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20、人工智能与著作权保护</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21、中国企业“走出去”前后的海外知识产权风险及应对方法</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22、中国企业跨境知识产权交易相关问题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23、中、外企业在国内的知识产权交易与合作</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24、抖音等短视频中网红翻唱歌曲的版权问题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25、中国企业海外知识产权侵权预警与诉讼策略</w:t>
      </w:r>
    </w:p>
    <w:p>
      <w:pPr>
        <w:spacing w:line="500" w:lineRule="exact"/>
        <w:ind w:firstLine="640" w:firstLineChars="200"/>
        <w:rPr>
          <w:rFonts w:ascii="黑体" w:hAnsi="宋体" w:eastAsia="黑体" w:cs="宋体"/>
          <w:sz w:val="32"/>
          <w:szCs w:val="32"/>
        </w:rPr>
      </w:pPr>
      <w:r>
        <w:rPr>
          <w:rFonts w:hint="eastAsia" w:ascii="黑体" w:hAnsi="宋体" w:eastAsia="黑体" w:cs="宋体"/>
          <w:sz w:val="32"/>
          <w:szCs w:val="32"/>
        </w:rPr>
        <w:t>五：合同法、破产法与律师实务</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w:t>
      </w:r>
      <w:r>
        <w:rPr>
          <w:rFonts w:ascii="仿宋_GB2312" w:hAnsi="黑体" w:eastAsia="仿宋_GB2312" w:cs="宋体"/>
          <w:sz w:val="32"/>
          <w:szCs w:val="32"/>
        </w:rPr>
        <w:t>关于合同效力的法律问题探析</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w:t>
      </w:r>
      <w:r>
        <w:rPr>
          <w:rFonts w:ascii="仿宋_GB2312" w:hAnsi="黑体" w:eastAsia="仿宋_GB2312" w:cs="宋体"/>
          <w:sz w:val="32"/>
          <w:szCs w:val="32"/>
        </w:rPr>
        <w:t>电子合同的法律问题研究</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3、</w:t>
      </w:r>
      <w:r>
        <w:rPr>
          <w:rFonts w:ascii="仿宋_GB2312" w:hAnsi="黑体" w:eastAsia="仿宋_GB2312" w:cs="宋体"/>
          <w:sz w:val="32"/>
          <w:szCs w:val="32"/>
        </w:rPr>
        <w:t>融资租赁合同中的法律实务研究</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4、</w:t>
      </w:r>
      <w:r>
        <w:rPr>
          <w:rFonts w:ascii="仿宋_GB2312" w:hAnsi="黑体" w:eastAsia="仿宋_GB2312" w:cs="宋体"/>
          <w:sz w:val="32"/>
          <w:szCs w:val="32"/>
        </w:rPr>
        <w:t>建设工程施工合同法律风险问题研究</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5、</w:t>
      </w:r>
      <w:r>
        <w:rPr>
          <w:rFonts w:ascii="仿宋_GB2312" w:hAnsi="黑体" w:eastAsia="仿宋_GB2312" w:cs="宋体"/>
          <w:sz w:val="32"/>
          <w:szCs w:val="32"/>
        </w:rPr>
        <w:t>借贷合同的实务问题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6、</w:t>
      </w:r>
      <w:r>
        <w:rPr>
          <w:rFonts w:ascii="仿宋_GB2312" w:hAnsi="黑体" w:eastAsia="仿宋_GB2312" w:cs="宋体"/>
          <w:sz w:val="32"/>
          <w:szCs w:val="32"/>
        </w:rPr>
        <w:t>租赁合同与抵押权的冲突与解决</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7、</w:t>
      </w:r>
      <w:r>
        <w:rPr>
          <w:rFonts w:ascii="仿宋_GB2312" w:hAnsi="黑体" w:eastAsia="仿宋_GB2312" w:cs="宋体"/>
          <w:sz w:val="32"/>
          <w:szCs w:val="32"/>
        </w:rPr>
        <w:t>人工智能在合同法领域的运用</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8、个人破产制度的理论和实践准备</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9、债权异议程序及衍生诉讼</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10、债权人委员会职权的内涵和外延</w:t>
      </w:r>
    </w:p>
    <w:p>
      <w:pPr>
        <w:spacing w:line="500" w:lineRule="exact"/>
        <w:ind w:firstLine="640" w:firstLineChars="200"/>
        <w:rPr>
          <w:rFonts w:ascii="黑体" w:hAnsi="宋体" w:eastAsia="黑体" w:cs="宋体"/>
          <w:sz w:val="32"/>
          <w:szCs w:val="32"/>
        </w:rPr>
      </w:pPr>
      <w:r>
        <w:rPr>
          <w:rFonts w:hint="eastAsia" w:ascii="黑体" w:hAnsi="宋体" w:eastAsia="黑体" w:cs="宋体"/>
          <w:sz w:val="32"/>
          <w:szCs w:val="32"/>
        </w:rPr>
        <w:t>六：优化营商环境与商事制度改革</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参考选题：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1、商事制度改革背景下商事登记效力的变迁</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2、商事制度改革中“住改商”问题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3、商事制度改革前后市场主体退出机制比较探究</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4、优化营商环境背景下商事纠纷调解机制实践与创新</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5、商事制度改革法律调整的实践依据</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6、商事制度改革后工商机关协助执行义务若干问题</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7、商事制度改革与法治工商建设</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8、新形势下商事制度改革存在的问题及对策研究</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9、商事改革背景下的人才流动与商业秘密保护</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10、互联网平台用工企业劳动关系认定的坚守与突破</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11、金融创新与法律服务</w:t>
      </w:r>
    </w:p>
    <w:p>
      <w:pPr>
        <w:spacing w:line="50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12、金融机构风险管理与投资者保护</w:t>
      </w:r>
    </w:p>
    <w:p>
      <w:pPr>
        <w:ind w:firstLine="645"/>
        <w:jc w:val="left"/>
        <w:rPr>
          <w:rFonts w:ascii="黑体" w:hAnsi="黑体" w:eastAsia="黑体" w:cs="MS Mincho"/>
          <w:szCs w:val="32"/>
        </w:rPr>
      </w:pPr>
    </w:p>
    <w:p>
      <w:pPr>
        <w:ind w:firstLine="645"/>
        <w:jc w:val="left"/>
        <w:rPr>
          <w:rFonts w:ascii="黑体" w:hAnsi="黑体" w:eastAsia="黑体"/>
          <w:szCs w:val="32"/>
        </w:rPr>
      </w:pPr>
    </w:p>
    <w:p>
      <w:pPr>
        <w:ind w:firstLine="645"/>
        <w:jc w:val="left"/>
        <w:rPr>
          <w:rFonts w:ascii="黑体" w:hAnsi="黑体" w:eastAsia="黑体"/>
          <w:szCs w:val="32"/>
        </w:rPr>
      </w:pPr>
    </w:p>
    <w:p>
      <w:pPr>
        <w:ind w:firstLine="645"/>
        <w:jc w:val="left"/>
        <w:rPr>
          <w:rFonts w:ascii="黑体" w:hAnsi="黑体" w:eastAsia="黑体"/>
          <w:szCs w:val="32"/>
        </w:rPr>
      </w:pPr>
    </w:p>
    <w:p>
      <w:pPr>
        <w:ind w:firstLine="645"/>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jc w:val="left"/>
        <w:rPr>
          <w:rFonts w:ascii="黑体" w:hAnsi="黑体" w:eastAsia="黑体"/>
          <w:szCs w:val="32"/>
        </w:rPr>
      </w:pPr>
    </w:p>
    <w:p>
      <w:pPr>
        <w:spacing w:line="500" w:lineRule="exact"/>
        <w:rPr>
          <w:rFonts w:ascii="黑体" w:eastAsia="黑体" w:cs="宋体"/>
          <w:sz w:val="32"/>
          <w:szCs w:val="32"/>
        </w:rPr>
      </w:pPr>
    </w:p>
    <w:p>
      <w:pPr>
        <w:spacing w:line="500" w:lineRule="exact"/>
        <w:rPr>
          <w:rFonts w:ascii="黑体" w:eastAsia="黑体" w:cs="宋体"/>
          <w:sz w:val="32"/>
          <w:szCs w:val="32"/>
        </w:rPr>
      </w:pPr>
    </w:p>
    <w:p>
      <w:pPr>
        <w:spacing w:line="500" w:lineRule="exact"/>
        <w:rPr>
          <w:rFonts w:ascii="黑体" w:eastAsia="黑体" w:cs="宋体"/>
          <w:sz w:val="32"/>
          <w:szCs w:val="32"/>
        </w:rPr>
      </w:pPr>
    </w:p>
    <w:p>
      <w:pPr>
        <w:rPr>
          <w:color w:val="000000"/>
        </w:rPr>
      </w:pPr>
      <w:bookmarkStart w:id="0" w:name="_GoBack"/>
      <w:bookmarkEnd w:id="0"/>
    </w:p>
    <w:sectPr>
      <w:pgSz w:w="11906" w:h="16838"/>
      <w:pgMar w:top="1270" w:right="1463" w:bottom="1157" w:left="1463"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A00002BF" w:usb1="68C7FCFB" w:usb2="00000010" w:usb3="00000000" w:csb0="4002009F" w:csb1="DFD7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0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758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nhideWhenUsed="0" w:uiPriority="99" w:name="annotation text" w:locked="1"/>
    <w:lsdException w:qFormat="1" w:unhideWhenUsed="0" w:uiPriority="99" w:name="header" w:locked="1"/>
    <w:lsdException w:unhideWhenUsed="0" w:uiPriority="99" w:name="footer" w:locked="1"/>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1"/>
    <w:semiHidden/>
    <w:locked/>
    <w:uiPriority w:val="99"/>
    <w:pPr>
      <w:jc w:val="left"/>
    </w:pPr>
  </w:style>
  <w:style w:type="paragraph" w:styleId="3">
    <w:name w:val="footer"/>
    <w:basedOn w:val="1"/>
    <w:link w:val="9"/>
    <w:semiHidden/>
    <w:locked/>
    <w:uiPriority w:val="99"/>
    <w:pPr>
      <w:tabs>
        <w:tab w:val="center" w:pos="4153"/>
        <w:tab w:val="right" w:pos="8306"/>
      </w:tabs>
      <w:snapToGrid w:val="0"/>
      <w:jc w:val="left"/>
    </w:pPr>
    <w:rPr>
      <w:sz w:val="18"/>
      <w:szCs w:val="18"/>
    </w:rPr>
  </w:style>
  <w:style w:type="paragraph" w:styleId="4">
    <w:name w:val="header"/>
    <w:basedOn w:val="1"/>
    <w:link w:val="10"/>
    <w:semiHidden/>
    <w:qFormat/>
    <w:lock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locked/>
    <w:uiPriority w:val="0"/>
    <w:rPr>
      <w:rFonts w:hint="default" w:ascii="Times New Roman"/>
    </w:rPr>
  </w:style>
  <w:style w:type="character" w:styleId="8">
    <w:name w:val="Hyperlink"/>
    <w:basedOn w:val="6"/>
    <w:qFormat/>
    <w:uiPriority w:val="99"/>
    <w:rPr>
      <w:rFonts w:cs="Times New Roman"/>
      <w:color w:val="0563C1"/>
      <w:u w:val="single"/>
    </w:rPr>
  </w:style>
  <w:style w:type="character" w:customStyle="1" w:styleId="9">
    <w:name w:val="页脚 字符"/>
    <w:basedOn w:val="6"/>
    <w:link w:val="3"/>
    <w:qFormat/>
    <w:uiPriority w:val="99"/>
    <w:rPr>
      <w:sz w:val="18"/>
      <w:szCs w:val="18"/>
    </w:rPr>
  </w:style>
  <w:style w:type="character" w:customStyle="1" w:styleId="10">
    <w:name w:val="页眉 字符"/>
    <w:basedOn w:val="6"/>
    <w:link w:val="4"/>
    <w:qFormat/>
    <w:uiPriority w:val="99"/>
    <w:rPr>
      <w:sz w:val="18"/>
      <w:szCs w:val="18"/>
    </w:rPr>
  </w:style>
  <w:style w:type="character" w:customStyle="1" w:styleId="11">
    <w:name w:val="批注文字 字符"/>
    <w:basedOn w:val="6"/>
    <w:link w:val="2"/>
    <w:uiPriority w:val="99"/>
    <w:rPr>
      <w:rFonts w:ascii="等线" w:hAnsi="等线" w:eastAsia="等线" w:cs="Times New Roman"/>
    </w:rPr>
  </w:style>
  <w:style w:type="character" w:customStyle="1" w:styleId="12">
    <w:name w:val="Header Char"/>
    <w:basedOn w:val="6"/>
    <w:uiPriority w:val="99"/>
    <w:rPr>
      <w:rFonts w:ascii="等线" w:hAnsi="等线" w:eastAsia="等线" w:cs="Times New Roman"/>
      <w:sz w:val="18"/>
      <w:szCs w:val="18"/>
    </w:rPr>
  </w:style>
  <w:style w:type="character" w:customStyle="1" w:styleId="13">
    <w:name w:val="Footer Char"/>
    <w:basedOn w:val="6"/>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581</Words>
  <Characters>3314</Characters>
  <Lines>27</Lines>
  <Paragraphs>7</Paragraphs>
  <TotalTime>1</TotalTime>
  <ScaleCrop>false</ScaleCrop>
  <LinksUpToDate>false</LinksUpToDate>
  <CharactersWithSpaces>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2019-06-29T12:50:00Z</dcterms:created>
  <dc:creator>东东</dc:creator>
  <cp:lastModifiedBy>O-M-G.</cp:lastModifiedBy>
  <cp:lastPrinted>2018-05-17T01:41:00Z</cp:lastPrinted>
  <dcterms:modified xsi:type="dcterms:W3CDTF">2019-07-02T01:49:05Z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